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25" w:rsidRDefault="00971925" w:rsidP="00971925">
      <w:bookmarkStart w:id="0" w:name="_GoBack"/>
      <w:bookmarkEnd w:id="0"/>
    </w:p>
    <w:p w:rsidR="00971925" w:rsidRDefault="00971925" w:rsidP="00971925"/>
    <w:p w:rsidR="00971925" w:rsidRDefault="00971925" w:rsidP="00971925"/>
    <w:p w:rsidR="00971925" w:rsidRDefault="00971925" w:rsidP="00971925"/>
    <w:p w:rsidR="00971925" w:rsidRDefault="00971925" w:rsidP="00971925"/>
    <w:p w:rsidR="00971925" w:rsidRDefault="00971925" w:rsidP="00971925"/>
    <w:p w:rsidR="00971925" w:rsidRDefault="00971925" w:rsidP="00971925"/>
    <w:p w:rsidR="00971925" w:rsidRDefault="00971925" w:rsidP="00971925"/>
    <w:p w:rsidR="00971925" w:rsidRPr="00672BB0" w:rsidRDefault="00971925" w:rsidP="00971925">
      <w:pPr>
        <w:rPr>
          <w:rFonts w:ascii="Arial Bold" w:hAnsi="Arial Bold" w:cs="Arial"/>
          <w:b/>
          <w:color w:val="6C2768"/>
          <w:sz w:val="36"/>
          <w:szCs w:val="36"/>
        </w:rPr>
      </w:pPr>
      <w:r w:rsidRPr="00672BB0">
        <w:rPr>
          <w:rFonts w:ascii="Arial Bold" w:hAnsi="Arial Bold" w:cs="Arial"/>
          <w:b/>
          <w:color w:val="6C2768"/>
          <w:sz w:val="36"/>
          <w:szCs w:val="36"/>
        </w:rPr>
        <w:t xml:space="preserve">Skills in Lancashire: </w:t>
      </w:r>
    </w:p>
    <w:p w:rsidR="00971925" w:rsidRPr="00672BB0" w:rsidRDefault="00971925" w:rsidP="00971925">
      <w:pPr>
        <w:rPr>
          <w:rFonts w:ascii="Arial Bold" w:hAnsi="Arial Bold" w:cs="Arial"/>
          <w:b/>
          <w:color w:val="6C2768"/>
          <w:sz w:val="36"/>
          <w:szCs w:val="36"/>
        </w:rPr>
      </w:pPr>
    </w:p>
    <w:p w:rsidR="000F6E29" w:rsidRPr="00672BB0" w:rsidRDefault="000F6E29" w:rsidP="000F6E29">
      <w:pPr>
        <w:spacing w:line="288" w:lineRule="auto"/>
        <w:ind w:right="-760"/>
        <w:rPr>
          <w:rFonts w:ascii="Arial Bold" w:hAnsi="Arial Bold" w:cs="Arial"/>
          <w:b/>
          <w:color w:val="6C2768"/>
          <w:sz w:val="36"/>
          <w:szCs w:val="36"/>
        </w:rPr>
      </w:pPr>
      <w:r w:rsidRPr="00672BB0">
        <w:rPr>
          <w:rFonts w:ascii="Arial Bold" w:hAnsi="Arial Bold" w:cs="Arial"/>
          <w:b/>
          <w:color w:val="6C2768"/>
          <w:sz w:val="36"/>
          <w:szCs w:val="36"/>
        </w:rPr>
        <w:t>Sector Skills Action Plan</w:t>
      </w:r>
      <w:r w:rsidR="00672BB0" w:rsidRPr="00672BB0">
        <w:rPr>
          <w:rFonts w:ascii="Arial Bold" w:hAnsi="Arial Bold" w:cs="Arial"/>
          <w:b/>
          <w:color w:val="6C2768"/>
          <w:sz w:val="36"/>
          <w:szCs w:val="36"/>
        </w:rPr>
        <w:t xml:space="preserve"> for the </w:t>
      </w:r>
      <w:r w:rsidRPr="00672BB0">
        <w:rPr>
          <w:rFonts w:ascii="Arial Bold" w:hAnsi="Arial Bold" w:cs="Arial"/>
          <w:b/>
          <w:color w:val="6C2768"/>
          <w:sz w:val="36"/>
          <w:szCs w:val="36"/>
        </w:rPr>
        <w:t>Visitor Economy</w:t>
      </w:r>
    </w:p>
    <w:p w:rsidR="000F6E29" w:rsidRPr="00672BB0" w:rsidRDefault="000F6E29" w:rsidP="000F6E29">
      <w:pPr>
        <w:spacing w:line="288" w:lineRule="auto"/>
        <w:ind w:right="-760"/>
        <w:rPr>
          <w:rFonts w:ascii="Arial Bold" w:hAnsi="Arial Bold" w:cs="Arial"/>
          <w:b/>
          <w:color w:val="6C2768"/>
          <w:sz w:val="36"/>
          <w:szCs w:val="36"/>
        </w:rPr>
      </w:pPr>
    </w:p>
    <w:p w:rsidR="00872878" w:rsidRPr="00672BB0" w:rsidRDefault="00872878" w:rsidP="00971925">
      <w:pPr>
        <w:rPr>
          <w:rFonts w:ascii="Arial Bold" w:hAnsi="Arial Bold" w:cs="Arial"/>
          <w:b/>
          <w:color w:val="6C2768"/>
          <w:sz w:val="36"/>
          <w:szCs w:val="36"/>
        </w:rPr>
      </w:pPr>
    </w:p>
    <w:p w:rsidR="00872878" w:rsidRPr="00672BB0" w:rsidRDefault="00356623" w:rsidP="00971925">
      <w:pPr>
        <w:rPr>
          <w:rFonts w:ascii="Arial Bold" w:hAnsi="Arial Bold" w:cs="Arial"/>
          <w:b/>
          <w:color w:val="6C2768"/>
          <w:sz w:val="36"/>
          <w:szCs w:val="36"/>
        </w:rPr>
      </w:pPr>
      <w:r w:rsidRPr="00672BB0">
        <w:rPr>
          <w:rFonts w:ascii="Arial Bold" w:hAnsi="Arial Bold" w:cs="Arial"/>
          <w:b/>
          <w:color w:val="6C2768"/>
          <w:sz w:val="36"/>
          <w:szCs w:val="36"/>
        </w:rPr>
        <w:t>June</w:t>
      </w:r>
      <w:r w:rsidR="00872878" w:rsidRPr="00672BB0">
        <w:rPr>
          <w:rFonts w:ascii="Arial Bold" w:hAnsi="Arial Bold" w:cs="Arial"/>
          <w:b/>
          <w:color w:val="6C2768"/>
          <w:sz w:val="36"/>
          <w:szCs w:val="36"/>
        </w:rPr>
        <w:t xml:space="preserve"> 2015 </w:t>
      </w:r>
    </w:p>
    <w:p w:rsidR="00971925" w:rsidRDefault="00971925" w:rsidP="00971925">
      <w:pPr>
        <w:rPr>
          <w:rFonts w:ascii="Arial" w:hAnsi="Arial" w:cs="Arial"/>
          <w:b/>
          <w:sz w:val="36"/>
          <w:szCs w:val="36"/>
        </w:rPr>
      </w:pPr>
    </w:p>
    <w:p w:rsidR="00971925" w:rsidRDefault="00971925" w:rsidP="00971925">
      <w:pPr>
        <w:rPr>
          <w:rFonts w:ascii="Arial" w:hAnsi="Arial" w:cs="Arial"/>
          <w:b/>
          <w:sz w:val="36"/>
          <w:szCs w:val="36"/>
        </w:rPr>
      </w:pPr>
    </w:p>
    <w:p w:rsidR="00971925" w:rsidRDefault="00971925" w:rsidP="00971925">
      <w:pPr>
        <w:rPr>
          <w:rFonts w:ascii="Arial" w:hAnsi="Arial" w:cs="Arial"/>
          <w:b/>
          <w:sz w:val="36"/>
          <w:szCs w:val="36"/>
        </w:rPr>
      </w:pPr>
    </w:p>
    <w:p w:rsidR="00971925" w:rsidRDefault="00971925" w:rsidP="00971925">
      <w:pPr>
        <w:rPr>
          <w:rFonts w:ascii="Arial" w:hAnsi="Arial" w:cs="Arial"/>
          <w:b/>
          <w:sz w:val="36"/>
          <w:szCs w:val="36"/>
        </w:rPr>
        <w:sectPr w:rsidR="00971925" w:rsidSect="009D4C5D">
          <w:headerReference w:type="default" r:id="rId8"/>
          <w:footerReference w:type="default" r:id="rId9"/>
          <w:headerReference w:type="first" r:id="rId10"/>
          <w:pgSz w:w="16834" w:h="11909" w:orient="landscape" w:code="9"/>
          <w:pgMar w:top="1418" w:right="1440" w:bottom="1419" w:left="1440" w:header="720" w:footer="720" w:gutter="0"/>
          <w:cols w:space="720"/>
          <w:titlePg/>
          <w:docGrid w:linePitch="360"/>
        </w:sectPr>
      </w:pPr>
      <w:r>
        <w:rPr>
          <w:rFonts w:ascii="Arial" w:hAnsi="Arial" w:cs="Arial"/>
          <w:b/>
          <w:sz w:val="36"/>
          <w:szCs w:val="36"/>
        </w:rPr>
        <w:br w:type="page"/>
      </w:r>
    </w:p>
    <w:p w:rsidR="00971925" w:rsidRDefault="00971925" w:rsidP="00971925">
      <w:pPr>
        <w:rPr>
          <w:rFonts w:ascii="Arial" w:hAnsi="Arial" w:cs="Arial"/>
          <w:b/>
          <w:sz w:val="36"/>
          <w:szCs w:val="36"/>
        </w:rPr>
      </w:pPr>
    </w:p>
    <w:p w:rsidR="00971925" w:rsidRPr="007C27B0" w:rsidRDefault="00971925" w:rsidP="00971925">
      <w:pPr>
        <w:rPr>
          <w:rFonts w:ascii="Arial Bold" w:hAnsi="Arial Bold" w:cs="Arial"/>
          <w:b/>
          <w:color w:val="6C2768"/>
          <w:sz w:val="36"/>
          <w:szCs w:val="36"/>
        </w:rPr>
      </w:pPr>
      <w:r w:rsidRPr="007C27B0">
        <w:rPr>
          <w:rFonts w:ascii="Arial Bold" w:hAnsi="Arial Bold" w:cs="Arial"/>
          <w:b/>
          <w:color w:val="6C2768"/>
          <w:sz w:val="28"/>
          <w:szCs w:val="28"/>
        </w:rPr>
        <w:t>Contents</w:t>
      </w:r>
      <w:r w:rsidR="006318C5" w:rsidRPr="007C27B0">
        <w:rPr>
          <w:rFonts w:ascii="Arial Bold" w:hAnsi="Arial Bold" w:cs="Arial"/>
          <w:b/>
          <w:color w:val="6C2768"/>
          <w:sz w:val="28"/>
          <w:szCs w:val="28"/>
        </w:rPr>
        <w:t xml:space="preserve"> </w:t>
      </w:r>
    </w:p>
    <w:sdt>
      <w:sdtPr>
        <w:rPr>
          <w:rFonts w:ascii="Times New Roman" w:eastAsia="Times New Roman" w:hAnsi="Times New Roman" w:cs="Times New Roman"/>
          <w:b w:val="0"/>
          <w:bCs w:val="0"/>
          <w:color w:val="auto"/>
          <w:sz w:val="24"/>
          <w:szCs w:val="24"/>
          <w:lang w:val="en-GB"/>
        </w:rPr>
        <w:id w:val="358828564"/>
        <w:docPartObj>
          <w:docPartGallery w:val="Table of Contents"/>
          <w:docPartUnique/>
        </w:docPartObj>
      </w:sdtPr>
      <w:sdtEndPr/>
      <w:sdtContent>
        <w:p w:rsidR="00971925" w:rsidRPr="007C27B0" w:rsidRDefault="00971925" w:rsidP="00971925">
          <w:pPr>
            <w:pStyle w:val="TOCHeading"/>
            <w:rPr>
              <w:sz w:val="2"/>
              <w:szCs w:val="2"/>
            </w:rPr>
          </w:pPr>
        </w:p>
        <w:p w:rsidR="001E116E" w:rsidRPr="001E116E" w:rsidRDefault="006215C1">
          <w:pPr>
            <w:pStyle w:val="TOC1"/>
            <w:rPr>
              <w:rFonts w:ascii="Arial" w:eastAsiaTheme="minorEastAsia" w:hAnsi="Arial" w:cs="Arial"/>
              <w:b/>
              <w:noProof/>
              <w:color w:val="6C2768"/>
              <w:sz w:val="22"/>
              <w:szCs w:val="22"/>
              <w:lang w:eastAsia="en-GB"/>
            </w:rPr>
          </w:pPr>
          <w:r w:rsidRPr="001E116E">
            <w:rPr>
              <w:rFonts w:ascii="Arial" w:hAnsi="Arial" w:cs="Arial"/>
              <w:b/>
              <w:color w:val="6C2768"/>
            </w:rPr>
            <w:fldChar w:fldCharType="begin"/>
          </w:r>
          <w:r w:rsidR="00971925" w:rsidRPr="001E116E">
            <w:rPr>
              <w:rFonts w:ascii="Arial" w:hAnsi="Arial" w:cs="Arial"/>
              <w:b/>
              <w:color w:val="6C2768"/>
            </w:rPr>
            <w:instrText xml:space="preserve"> TOC \o "1-3" \h \z \u </w:instrText>
          </w:r>
          <w:r w:rsidRPr="001E116E">
            <w:rPr>
              <w:rFonts w:ascii="Arial" w:hAnsi="Arial" w:cs="Arial"/>
              <w:b/>
              <w:color w:val="6C2768"/>
            </w:rPr>
            <w:fldChar w:fldCharType="separate"/>
          </w:r>
          <w:hyperlink w:anchor="_Toc424128464" w:history="1">
            <w:r w:rsidR="001E116E" w:rsidRPr="001E116E">
              <w:rPr>
                <w:rStyle w:val="Hyperlink"/>
                <w:rFonts w:ascii="Arial" w:hAnsi="Arial" w:cs="Arial"/>
                <w:b/>
                <w:bCs/>
                <w:noProof/>
                <w:color w:val="6C2768"/>
                <w:kern w:val="32"/>
                <w:lang w:eastAsia="en-GB"/>
              </w:rPr>
              <w:t>1</w:t>
            </w:r>
            <w:r w:rsidR="001E116E" w:rsidRPr="001E116E">
              <w:rPr>
                <w:rFonts w:ascii="Arial" w:eastAsiaTheme="minorEastAsia" w:hAnsi="Arial" w:cs="Arial"/>
                <w:b/>
                <w:noProof/>
                <w:color w:val="6C2768"/>
                <w:sz w:val="22"/>
                <w:szCs w:val="22"/>
                <w:lang w:eastAsia="en-GB"/>
              </w:rPr>
              <w:tab/>
            </w:r>
            <w:r w:rsidR="001E116E" w:rsidRPr="001E116E">
              <w:rPr>
                <w:rStyle w:val="Hyperlink"/>
                <w:rFonts w:ascii="Arial" w:hAnsi="Arial" w:cs="Arial"/>
                <w:b/>
                <w:bCs/>
                <w:noProof/>
                <w:color w:val="6C2768"/>
                <w:kern w:val="32"/>
                <w:lang w:eastAsia="en-GB"/>
              </w:rPr>
              <w:t>The National Visitor Economy</w:t>
            </w:r>
            <w:r w:rsidR="001E116E" w:rsidRPr="001E116E">
              <w:rPr>
                <w:rFonts w:ascii="Arial" w:hAnsi="Arial" w:cs="Arial"/>
                <w:b/>
                <w:noProof/>
                <w:webHidden/>
                <w:color w:val="6C2768"/>
              </w:rPr>
              <w:tab/>
            </w:r>
            <w:r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_Toc424128464 \h </w:instrText>
            </w:r>
            <w:r w:rsidRPr="001E116E">
              <w:rPr>
                <w:rFonts w:ascii="Arial" w:hAnsi="Arial" w:cs="Arial"/>
                <w:b/>
                <w:noProof/>
                <w:webHidden/>
                <w:color w:val="6C2768"/>
              </w:rPr>
            </w:r>
            <w:r w:rsidRPr="001E116E">
              <w:rPr>
                <w:rFonts w:ascii="Arial" w:hAnsi="Arial" w:cs="Arial"/>
                <w:b/>
                <w:noProof/>
                <w:webHidden/>
                <w:color w:val="6C2768"/>
              </w:rPr>
              <w:fldChar w:fldCharType="separate"/>
            </w:r>
            <w:r w:rsidR="00B01110">
              <w:rPr>
                <w:rFonts w:ascii="Arial" w:hAnsi="Arial" w:cs="Arial"/>
                <w:b/>
                <w:noProof/>
                <w:webHidden/>
                <w:color w:val="6C2768"/>
              </w:rPr>
              <w:t>2</w:t>
            </w:r>
            <w:r w:rsidRPr="001E116E">
              <w:rPr>
                <w:rFonts w:ascii="Arial" w:hAnsi="Arial" w:cs="Arial"/>
                <w:b/>
                <w:noProof/>
                <w:webHidden/>
                <w:color w:val="6C2768"/>
              </w:rPr>
              <w:fldChar w:fldCharType="end"/>
            </w:r>
          </w:hyperlink>
        </w:p>
        <w:p w:rsidR="001E116E" w:rsidRPr="001E116E" w:rsidRDefault="001E116E">
          <w:pPr>
            <w:pStyle w:val="TOC1"/>
            <w:rPr>
              <w:rStyle w:val="Hyperlink"/>
              <w:rFonts w:ascii="Arial" w:hAnsi="Arial" w:cs="Arial"/>
              <w:b/>
              <w:noProof/>
              <w:color w:val="6C2768"/>
              <w:sz w:val="10"/>
              <w:szCs w:val="10"/>
            </w:rPr>
          </w:pPr>
        </w:p>
        <w:p w:rsidR="001E116E" w:rsidRPr="001E116E" w:rsidRDefault="00602146">
          <w:pPr>
            <w:pStyle w:val="TOC1"/>
            <w:rPr>
              <w:rFonts w:ascii="Arial" w:eastAsiaTheme="minorEastAsia" w:hAnsi="Arial" w:cs="Arial"/>
              <w:b/>
              <w:noProof/>
              <w:color w:val="6C2768"/>
              <w:sz w:val="22"/>
              <w:szCs w:val="22"/>
              <w:lang w:eastAsia="en-GB"/>
            </w:rPr>
          </w:pPr>
          <w:hyperlink w:anchor="_Toc424128465" w:history="1">
            <w:r w:rsidR="001E116E" w:rsidRPr="001E116E">
              <w:rPr>
                <w:rStyle w:val="Hyperlink"/>
                <w:rFonts w:ascii="Arial" w:hAnsi="Arial" w:cs="Arial"/>
                <w:b/>
                <w:bCs/>
                <w:noProof/>
                <w:color w:val="6C2768"/>
                <w:kern w:val="32"/>
                <w:lang w:eastAsia="en-GB"/>
              </w:rPr>
              <w:t>2</w:t>
            </w:r>
            <w:r w:rsidR="001E116E" w:rsidRPr="001E116E">
              <w:rPr>
                <w:rFonts w:ascii="Arial" w:eastAsiaTheme="minorEastAsia" w:hAnsi="Arial" w:cs="Arial"/>
                <w:b/>
                <w:noProof/>
                <w:color w:val="6C2768"/>
                <w:sz w:val="22"/>
                <w:szCs w:val="22"/>
                <w:lang w:eastAsia="en-GB"/>
              </w:rPr>
              <w:tab/>
            </w:r>
            <w:r w:rsidR="001E116E" w:rsidRPr="001E116E">
              <w:rPr>
                <w:rStyle w:val="Hyperlink"/>
                <w:rFonts w:ascii="Arial" w:hAnsi="Arial" w:cs="Arial"/>
                <w:b/>
                <w:bCs/>
                <w:noProof/>
                <w:color w:val="6C2768"/>
                <w:kern w:val="32"/>
                <w:lang w:eastAsia="en-GB"/>
              </w:rPr>
              <w:t>Lancashire Today</w:t>
            </w:r>
            <w:r w:rsidR="001E116E" w:rsidRPr="001E116E">
              <w:rPr>
                <w:rFonts w:ascii="Arial" w:hAnsi="Arial" w:cs="Arial"/>
                <w:b/>
                <w:noProof/>
                <w:webHidden/>
                <w:color w:val="6C2768"/>
              </w:rPr>
              <w:tab/>
            </w:r>
            <w:r w:rsidR="006215C1"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_Toc424128465 \h </w:instrText>
            </w:r>
            <w:r w:rsidR="006215C1" w:rsidRPr="001E116E">
              <w:rPr>
                <w:rFonts w:ascii="Arial" w:hAnsi="Arial" w:cs="Arial"/>
                <w:b/>
                <w:noProof/>
                <w:webHidden/>
                <w:color w:val="6C2768"/>
              </w:rPr>
            </w:r>
            <w:r w:rsidR="006215C1" w:rsidRPr="001E116E">
              <w:rPr>
                <w:rFonts w:ascii="Arial" w:hAnsi="Arial" w:cs="Arial"/>
                <w:b/>
                <w:noProof/>
                <w:webHidden/>
                <w:color w:val="6C2768"/>
              </w:rPr>
              <w:fldChar w:fldCharType="separate"/>
            </w:r>
            <w:r w:rsidR="00B01110">
              <w:rPr>
                <w:rFonts w:ascii="Arial" w:hAnsi="Arial" w:cs="Arial"/>
                <w:b/>
                <w:noProof/>
                <w:webHidden/>
                <w:color w:val="6C2768"/>
              </w:rPr>
              <w:t>6</w:t>
            </w:r>
            <w:r w:rsidR="006215C1" w:rsidRPr="001E116E">
              <w:rPr>
                <w:rFonts w:ascii="Arial" w:hAnsi="Arial" w:cs="Arial"/>
                <w:b/>
                <w:noProof/>
                <w:webHidden/>
                <w:color w:val="6C2768"/>
              </w:rPr>
              <w:fldChar w:fldCharType="end"/>
            </w:r>
          </w:hyperlink>
        </w:p>
        <w:p w:rsidR="001E116E" w:rsidRPr="001E116E" w:rsidRDefault="001E116E" w:rsidP="001E116E">
          <w:pPr>
            <w:pStyle w:val="TOC1"/>
            <w:rPr>
              <w:rStyle w:val="Hyperlink"/>
              <w:rFonts w:ascii="Arial" w:hAnsi="Arial" w:cs="Arial"/>
              <w:b/>
              <w:noProof/>
              <w:color w:val="6C2768"/>
              <w:sz w:val="10"/>
              <w:szCs w:val="10"/>
            </w:rPr>
          </w:pPr>
        </w:p>
        <w:p w:rsidR="001E116E" w:rsidRPr="001E116E" w:rsidRDefault="00602146" w:rsidP="001E116E">
          <w:pPr>
            <w:pStyle w:val="TOC1"/>
            <w:rPr>
              <w:rFonts w:ascii="Arial" w:eastAsiaTheme="minorEastAsia" w:hAnsi="Arial" w:cs="Arial"/>
              <w:b/>
              <w:noProof/>
              <w:color w:val="6C2768"/>
              <w:sz w:val="22"/>
              <w:szCs w:val="22"/>
              <w:lang w:eastAsia="en-GB"/>
            </w:rPr>
          </w:pPr>
          <w:hyperlink w:anchor="_Toc424128466" w:history="1">
            <w:r w:rsidR="001E116E" w:rsidRPr="001E116E">
              <w:rPr>
                <w:rStyle w:val="Hyperlink"/>
                <w:rFonts w:ascii="Arial" w:hAnsi="Arial" w:cs="Arial"/>
                <w:b/>
                <w:bCs/>
                <w:noProof/>
                <w:color w:val="6C2768"/>
                <w:kern w:val="32"/>
                <w:lang w:eastAsia="en-GB"/>
              </w:rPr>
              <w:t>3</w:t>
            </w:r>
            <w:r w:rsidR="001E116E" w:rsidRPr="001E116E">
              <w:rPr>
                <w:rFonts w:ascii="Arial" w:eastAsiaTheme="minorEastAsia" w:hAnsi="Arial" w:cs="Arial"/>
                <w:b/>
                <w:noProof/>
                <w:color w:val="6C2768"/>
                <w:sz w:val="22"/>
                <w:szCs w:val="22"/>
                <w:lang w:eastAsia="en-GB"/>
              </w:rPr>
              <w:tab/>
            </w:r>
            <w:r w:rsidR="001E116E" w:rsidRPr="001E116E">
              <w:rPr>
                <w:rStyle w:val="Hyperlink"/>
                <w:rFonts w:ascii="Arial" w:hAnsi="Arial" w:cs="Arial"/>
                <w:b/>
                <w:bCs/>
                <w:noProof/>
                <w:color w:val="6C2768"/>
                <w:kern w:val="32"/>
                <w:lang w:eastAsia="en-GB"/>
              </w:rPr>
              <w:t>The Visitor Economy in Numbers</w:t>
            </w:r>
            <w:r w:rsidR="001E116E" w:rsidRPr="001E116E">
              <w:rPr>
                <w:rFonts w:ascii="Arial" w:hAnsi="Arial" w:cs="Arial"/>
                <w:b/>
                <w:noProof/>
                <w:webHidden/>
                <w:color w:val="6C2768"/>
              </w:rPr>
              <w:tab/>
            </w:r>
            <w:r w:rsidR="006215C1"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_Toc424128466 \h </w:instrText>
            </w:r>
            <w:r w:rsidR="006215C1" w:rsidRPr="001E116E">
              <w:rPr>
                <w:rFonts w:ascii="Arial" w:hAnsi="Arial" w:cs="Arial"/>
                <w:b/>
                <w:noProof/>
                <w:webHidden/>
                <w:color w:val="6C2768"/>
              </w:rPr>
            </w:r>
            <w:r w:rsidR="006215C1" w:rsidRPr="001E116E">
              <w:rPr>
                <w:rFonts w:ascii="Arial" w:hAnsi="Arial" w:cs="Arial"/>
                <w:b/>
                <w:noProof/>
                <w:webHidden/>
                <w:color w:val="6C2768"/>
              </w:rPr>
              <w:fldChar w:fldCharType="separate"/>
            </w:r>
            <w:r w:rsidR="00B01110">
              <w:rPr>
                <w:rFonts w:ascii="Arial" w:hAnsi="Arial" w:cs="Arial"/>
                <w:b/>
                <w:noProof/>
                <w:webHidden/>
                <w:color w:val="6C2768"/>
              </w:rPr>
              <w:t>9</w:t>
            </w:r>
            <w:r w:rsidR="006215C1" w:rsidRPr="001E116E">
              <w:rPr>
                <w:rFonts w:ascii="Arial" w:hAnsi="Arial" w:cs="Arial"/>
                <w:b/>
                <w:noProof/>
                <w:webHidden/>
                <w:color w:val="6C2768"/>
              </w:rPr>
              <w:fldChar w:fldCharType="end"/>
            </w:r>
          </w:hyperlink>
        </w:p>
        <w:p w:rsidR="001E116E" w:rsidRPr="001E116E" w:rsidRDefault="001E116E" w:rsidP="001E116E">
          <w:pPr>
            <w:pStyle w:val="TOC1"/>
            <w:rPr>
              <w:rStyle w:val="Hyperlink"/>
              <w:rFonts w:ascii="Arial" w:hAnsi="Arial" w:cs="Arial"/>
              <w:b/>
              <w:noProof/>
              <w:color w:val="6C2768"/>
              <w:sz w:val="10"/>
              <w:szCs w:val="10"/>
            </w:rPr>
          </w:pPr>
        </w:p>
        <w:p w:rsidR="001E116E" w:rsidRPr="001E116E" w:rsidRDefault="00602146" w:rsidP="001E116E">
          <w:pPr>
            <w:pStyle w:val="TOC1"/>
            <w:rPr>
              <w:rFonts w:ascii="Arial" w:eastAsiaTheme="minorEastAsia" w:hAnsi="Arial" w:cs="Arial"/>
              <w:b/>
              <w:noProof/>
              <w:color w:val="6C2768"/>
              <w:sz w:val="22"/>
              <w:szCs w:val="22"/>
              <w:lang w:eastAsia="en-GB"/>
            </w:rPr>
          </w:pPr>
          <w:hyperlink w:anchor="_Toc424128476" w:history="1">
            <w:r w:rsidR="007E1190">
              <w:rPr>
                <w:rStyle w:val="Hyperlink"/>
                <w:rFonts w:ascii="Arial" w:hAnsi="Arial" w:cs="Arial"/>
                <w:b/>
                <w:bCs/>
                <w:noProof/>
                <w:color w:val="6C2768"/>
                <w:kern w:val="32"/>
                <w:lang w:eastAsia="en-GB"/>
              </w:rPr>
              <w:t>4</w:t>
            </w:r>
            <w:r w:rsidR="001E116E" w:rsidRPr="001E116E">
              <w:rPr>
                <w:rFonts w:ascii="Arial" w:eastAsiaTheme="minorEastAsia" w:hAnsi="Arial" w:cs="Arial"/>
                <w:b/>
                <w:noProof/>
                <w:color w:val="6C2768"/>
                <w:sz w:val="22"/>
                <w:szCs w:val="22"/>
                <w:lang w:eastAsia="en-GB"/>
              </w:rPr>
              <w:tab/>
            </w:r>
            <w:r w:rsidR="001E116E" w:rsidRPr="001E116E">
              <w:rPr>
                <w:rStyle w:val="Hyperlink"/>
                <w:rFonts w:ascii="Arial" w:hAnsi="Arial" w:cs="Arial"/>
                <w:b/>
                <w:bCs/>
                <w:noProof/>
                <w:color w:val="6C2768"/>
                <w:kern w:val="32"/>
                <w:lang w:eastAsia="en-GB"/>
              </w:rPr>
              <w:t>Recruitment and Retention</w:t>
            </w:r>
            <w:r w:rsidR="001E116E" w:rsidRPr="001E116E">
              <w:rPr>
                <w:rFonts w:ascii="Arial" w:hAnsi="Arial" w:cs="Arial"/>
                <w:b/>
                <w:noProof/>
                <w:webHidden/>
                <w:color w:val="6C2768"/>
              </w:rPr>
              <w:tab/>
            </w:r>
            <w:r w:rsidR="006215C1"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_Toc424128476 \h </w:instrText>
            </w:r>
            <w:r w:rsidR="006215C1" w:rsidRPr="001E116E">
              <w:rPr>
                <w:rFonts w:ascii="Arial" w:hAnsi="Arial" w:cs="Arial"/>
                <w:b/>
                <w:noProof/>
                <w:webHidden/>
                <w:color w:val="6C2768"/>
              </w:rPr>
            </w:r>
            <w:r w:rsidR="006215C1" w:rsidRPr="001E116E">
              <w:rPr>
                <w:rFonts w:ascii="Arial" w:hAnsi="Arial" w:cs="Arial"/>
                <w:b/>
                <w:noProof/>
                <w:webHidden/>
                <w:color w:val="6C2768"/>
              </w:rPr>
              <w:fldChar w:fldCharType="separate"/>
            </w:r>
            <w:r w:rsidR="00B01110">
              <w:rPr>
                <w:rFonts w:ascii="Arial" w:hAnsi="Arial" w:cs="Arial"/>
                <w:b/>
                <w:noProof/>
                <w:webHidden/>
                <w:color w:val="6C2768"/>
              </w:rPr>
              <w:t>20</w:t>
            </w:r>
            <w:r w:rsidR="006215C1" w:rsidRPr="001E116E">
              <w:rPr>
                <w:rFonts w:ascii="Arial" w:hAnsi="Arial" w:cs="Arial"/>
                <w:b/>
                <w:noProof/>
                <w:webHidden/>
                <w:color w:val="6C2768"/>
              </w:rPr>
              <w:fldChar w:fldCharType="end"/>
            </w:r>
          </w:hyperlink>
        </w:p>
        <w:p w:rsidR="001E116E" w:rsidRPr="001E116E" w:rsidRDefault="001E116E">
          <w:pPr>
            <w:pStyle w:val="TOC1"/>
            <w:rPr>
              <w:rStyle w:val="Hyperlink"/>
              <w:rFonts w:ascii="Arial" w:hAnsi="Arial" w:cs="Arial"/>
              <w:b/>
              <w:noProof/>
              <w:color w:val="6C2768"/>
              <w:sz w:val="10"/>
              <w:szCs w:val="10"/>
            </w:rPr>
          </w:pPr>
        </w:p>
        <w:p w:rsidR="001E116E" w:rsidRPr="001E116E" w:rsidRDefault="00602146">
          <w:pPr>
            <w:pStyle w:val="TOC1"/>
            <w:rPr>
              <w:rFonts w:ascii="Arial" w:eastAsiaTheme="minorEastAsia" w:hAnsi="Arial" w:cs="Arial"/>
              <w:b/>
              <w:noProof/>
              <w:color w:val="6C2768"/>
              <w:sz w:val="22"/>
              <w:szCs w:val="22"/>
              <w:lang w:eastAsia="en-GB"/>
            </w:rPr>
          </w:pPr>
          <w:hyperlink w:anchor="_Toc424128478" w:history="1">
            <w:r w:rsidR="007E1190">
              <w:rPr>
                <w:rStyle w:val="Hyperlink"/>
                <w:rFonts w:ascii="Arial" w:hAnsi="Arial" w:cs="Arial"/>
                <w:b/>
                <w:bCs/>
                <w:noProof/>
                <w:color w:val="6C2768"/>
                <w:kern w:val="32"/>
                <w:lang w:eastAsia="en-GB"/>
              </w:rPr>
              <w:t>5</w:t>
            </w:r>
            <w:r w:rsidR="001E116E" w:rsidRPr="001E116E">
              <w:rPr>
                <w:rFonts w:ascii="Arial" w:eastAsiaTheme="minorEastAsia" w:hAnsi="Arial" w:cs="Arial"/>
                <w:b/>
                <w:noProof/>
                <w:color w:val="6C2768"/>
                <w:sz w:val="22"/>
                <w:szCs w:val="22"/>
                <w:lang w:eastAsia="en-GB"/>
              </w:rPr>
              <w:tab/>
            </w:r>
            <w:r w:rsidR="001E116E" w:rsidRPr="001E116E">
              <w:rPr>
                <w:rStyle w:val="Hyperlink"/>
                <w:rFonts w:ascii="Arial" w:hAnsi="Arial" w:cs="Arial"/>
                <w:b/>
                <w:bCs/>
                <w:noProof/>
                <w:color w:val="6C2768"/>
                <w:kern w:val="32"/>
                <w:lang w:eastAsia="en-GB"/>
              </w:rPr>
              <w:t>Skills Gaps</w:t>
            </w:r>
            <w:r w:rsidR="001E116E" w:rsidRPr="001E116E">
              <w:rPr>
                <w:rFonts w:ascii="Arial" w:hAnsi="Arial" w:cs="Arial"/>
                <w:b/>
                <w:noProof/>
                <w:webHidden/>
                <w:color w:val="6C2768"/>
              </w:rPr>
              <w:tab/>
            </w:r>
            <w:r w:rsidR="006215C1"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_Toc424128478 \h </w:instrText>
            </w:r>
            <w:r w:rsidR="006215C1" w:rsidRPr="001E116E">
              <w:rPr>
                <w:rFonts w:ascii="Arial" w:hAnsi="Arial" w:cs="Arial"/>
                <w:b/>
                <w:noProof/>
                <w:webHidden/>
                <w:color w:val="6C2768"/>
              </w:rPr>
            </w:r>
            <w:r w:rsidR="006215C1" w:rsidRPr="001E116E">
              <w:rPr>
                <w:rFonts w:ascii="Arial" w:hAnsi="Arial" w:cs="Arial"/>
                <w:b/>
                <w:noProof/>
                <w:webHidden/>
                <w:color w:val="6C2768"/>
              </w:rPr>
              <w:fldChar w:fldCharType="separate"/>
            </w:r>
            <w:r w:rsidR="00B01110">
              <w:rPr>
                <w:rFonts w:ascii="Arial" w:hAnsi="Arial" w:cs="Arial"/>
                <w:b/>
                <w:noProof/>
                <w:webHidden/>
                <w:color w:val="6C2768"/>
              </w:rPr>
              <w:t>27</w:t>
            </w:r>
            <w:r w:rsidR="006215C1" w:rsidRPr="001E116E">
              <w:rPr>
                <w:rFonts w:ascii="Arial" w:hAnsi="Arial" w:cs="Arial"/>
                <w:b/>
                <w:noProof/>
                <w:webHidden/>
                <w:color w:val="6C2768"/>
              </w:rPr>
              <w:fldChar w:fldCharType="end"/>
            </w:r>
          </w:hyperlink>
        </w:p>
        <w:p w:rsidR="001E116E" w:rsidRPr="001E116E" w:rsidRDefault="001E116E" w:rsidP="001E116E">
          <w:pPr>
            <w:pStyle w:val="TOC1"/>
            <w:rPr>
              <w:rStyle w:val="Hyperlink"/>
              <w:rFonts w:ascii="Arial" w:hAnsi="Arial" w:cs="Arial"/>
              <w:b/>
              <w:noProof/>
              <w:color w:val="6C2768"/>
              <w:sz w:val="10"/>
              <w:szCs w:val="10"/>
            </w:rPr>
          </w:pPr>
        </w:p>
        <w:p w:rsidR="001E116E" w:rsidRPr="001E116E" w:rsidRDefault="00602146" w:rsidP="001E116E">
          <w:pPr>
            <w:pStyle w:val="TOC1"/>
            <w:rPr>
              <w:rFonts w:ascii="Arial" w:eastAsiaTheme="minorEastAsia" w:hAnsi="Arial" w:cs="Arial"/>
              <w:b/>
              <w:noProof/>
              <w:color w:val="6C2768"/>
              <w:sz w:val="22"/>
              <w:szCs w:val="22"/>
              <w:lang w:eastAsia="en-GB"/>
            </w:rPr>
          </w:pPr>
          <w:hyperlink w:anchor="_Toc424128479" w:history="1">
            <w:r w:rsidR="007E1190">
              <w:rPr>
                <w:rStyle w:val="Hyperlink"/>
                <w:rFonts w:ascii="Arial" w:hAnsi="Arial" w:cs="Arial"/>
                <w:b/>
                <w:bCs/>
                <w:noProof/>
                <w:color w:val="6C2768"/>
                <w:kern w:val="32"/>
                <w:lang w:eastAsia="en-GB"/>
              </w:rPr>
              <w:t>6</w:t>
            </w:r>
            <w:r w:rsidR="001E116E" w:rsidRPr="001E116E">
              <w:rPr>
                <w:rFonts w:ascii="Arial" w:eastAsiaTheme="minorEastAsia" w:hAnsi="Arial" w:cs="Arial"/>
                <w:b/>
                <w:noProof/>
                <w:color w:val="6C2768"/>
                <w:sz w:val="22"/>
                <w:szCs w:val="22"/>
                <w:lang w:eastAsia="en-GB"/>
              </w:rPr>
              <w:tab/>
            </w:r>
            <w:r w:rsidR="001E116E" w:rsidRPr="001E116E">
              <w:rPr>
                <w:rStyle w:val="Hyperlink"/>
                <w:rFonts w:ascii="Arial" w:hAnsi="Arial" w:cs="Arial"/>
                <w:b/>
                <w:bCs/>
                <w:noProof/>
                <w:color w:val="6C2768"/>
                <w:kern w:val="32"/>
                <w:lang w:eastAsia="en-GB"/>
              </w:rPr>
              <w:t>Supply Side Provision</w:t>
            </w:r>
            <w:r w:rsidR="001E116E" w:rsidRPr="001E116E">
              <w:rPr>
                <w:rFonts w:ascii="Arial" w:hAnsi="Arial" w:cs="Arial"/>
                <w:b/>
                <w:noProof/>
                <w:webHidden/>
                <w:color w:val="6C2768"/>
              </w:rPr>
              <w:tab/>
            </w:r>
            <w:r w:rsidR="006215C1"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_Toc424128479 \h </w:instrText>
            </w:r>
            <w:r w:rsidR="006215C1" w:rsidRPr="001E116E">
              <w:rPr>
                <w:rFonts w:ascii="Arial" w:hAnsi="Arial" w:cs="Arial"/>
                <w:b/>
                <w:noProof/>
                <w:webHidden/>
                <w:color w:val="6C2768"/>
              </w:rPr>
            </w:r>
            <w:r w:rsidR="006215C1" w:rsidRPr="001E116E">
              <w:rPr>
                <w:rFonts w:ascii="Arial" w:hAnsi="Arial" w:cs="Arial"/>
                <w:b/>
                <w:noProof/>
                <w:webHidden/>
                <w:color w:val="6C2768"/>
              </w:rPr>
              <w:fldChar w:fldCharType="separate"/>
            </w:r>
            <w:r w:rsidR="00B01110">
              <w:rPr>
                <w:rFonts w:ascii="Arial" w:hAnsi="Arial" w:cs="Arial"/>
                <w:b/>
                <w:noProof/>
                <w:webHidden/>
                <w:color w:val="6C2768"/>
              </w:rPr>
              <w:t>31</w:t>
            </w:r>
            <w:r w:rsidR="006215C1" w:rsidRPr="001E116E">
              <w:rPr>
                <w:rFonts w:ascii="Arial" w:hAnsi="Arial" w:cs="Arial"/>
                <w:b/>
                <w:noProof/>
                <w:webHidden/>
                <w:color w:val="6C2768"/>
              </w:rPr>
              <w:fldChar w:fldCharType="end"/>
            </w:r>
          </w:hyperlink>
        </w:p>
        <w:p w:rsidR="001E116E" w:rsidRPr="001E116E" w:rsidRDefault="001E116E">
          <w:pPr>
            <w:pStyle w:val="TOC1"/>
            <w:rPr>
              <w:rStyle w:val="Hyperlink"/>
              <w:rFonts w:ascii="Arial" w:hAnsi="Arial" w:cs="Arial"/>
              <w:b/>
              <w:noProof/>
              <w:color w:val="6C2768"/>
              <w:sz w:val="10"/>
              <w:szCs w:val="10"/>
            </w:rPr>
          </w:pPr>
        </w:p>
        <w:p w:rsidR="001E116E" w:rsidRPr="001E116E" w:rsidRDefault="00602146">
          <w:pPr>
            <w:pStyle w:val="TOC1"/>
            <w:rPr>
              <w:rFonts w:ascii="Arial" w:eastAsiaTheme="minorEastAsia" w:hAnsi="Arial" w:cs="Arial"/>
              <w:b/>
              <w:noProof/>
              <w:color w:val="6C2768"/>
              <w:sz w:val="22"/>
              <w:szCs w:val="22"/>
              <w:lang w:eastAsia="en-GB"/>
            </w:rPr>
          </w:pPr>
          <w:hyperlink w:anchor="_Toc424128483" w:history="1">
            <w:r w:rsidR="007E1190">
              <w:rPr>
                <w:rStyle w:val="Hyperlink"/>
                <w:rFonts w:ascii="Arial" w:hAnsi="Arial" w:cs="Arial"/>
                <w:b/>
                <w:bCs/>
                <w:noProof/>
                <w:color w:val="6C2768"/>
                <w:kern w:val="32"/>
                <w:lang w:eastAsia="en-GB"/>
              </w:rPr>
              <w:t>7</w:t>
            </w:r>
            <w:r w:rsidR="001E116E" w:rsidRPr="001E116E">
              <w:rPr>
                <w:rFonts w:ascii="Arial" w:eastAsiaTheme="minorEastAsia" w:hAnsi="Arial" w:cs="Arial"/>
                <w:b/>
                <w:noProof/>
                <w:color w:val="6C2768"/>
                <w:sz w:val="22"/>
                <w:szCs w:val="22"/>
                <w:lang w:eastAsia="en-GB"/>
              </w:rPr>
              <w:tab/>
            </w:r>
            <w:r w:rsidR="001E116E" w:rsidRPr="001E116E">
              <w:rPr>
                <w:rStyle w:val="Hyperlink"/>
                <w:rFonts w:ascii="Arial" w:hAnsi="Arial" w:cs="Arial"/>
                <w:b/>
                <w:bCs/>
                <w:noProof/>
                <w:color w:val="6C2768"/>
                <w:kern w:val="32"/>
                <w:lang w:eastAsia="en-GB"/>
              </w:rPr>
              <w:t>Actions</w:t>
            </w:r>
            <w:r w:rsidR="001E116E" w:rsidRPr="001E116E">
              <w:rPr>
                <w:rFonts w:ascii="Arial" w:hAnsi="Arial" w:cs="Arial"/>
                <w:b/>
                <w:noProof/>
                <w:webHidden/>
                <w:color w:val="6C2768"/>
              </w:rPr>
              <w:tab/>
            </w:r>
            <w:r w:rsidR="006215C1"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_Toc424128483 \h </w:instrText>
            </w:r>
            <w:r w:rsidR="006215C1" w:rsidRPr="001E116E">
              <w:rPr>
                <w:rFonts w:ascii="Arial" w:hAnsi="Arial" w:cs="Arial"/>
                <w:b/>
                <w:noProof/>
                <w:webHidden/>
                <w:color w:val="6C2768"/>
              </w:rPr>
            </w:r>
            <w:r w:rsidR="006215C1" w:rsidRPr="001E116E">
              <w:rPr>
                <w:rFonts w:ascii="Arial" w:hAnsi="Arial" w:cs="Arial"/>
                <w:b/>
                <w:noProof/>
                <w:webHidden/>
                <w:color w:val="6C2768"/>
              </w:rPr>
              <w:fldChar w:fldCharType="separate"/>
            </w:r>
            <w:r w:rsidR="00B01110">
              <w:rPr>
                <w:rFonts w:ascii="Arial" w:hAnsi="Arial" w:cs="Arial"/>
                <w:b/>
                <w:noProof/>
                <w:webHidden/>
                <w:color w:val="6C2768"/>
              </w:rPr>
              <w:t>37</w:t>
            </w:r>
            <w:r w:rsidR="006215C1" w:rsidRPr="001E116E">
              <w:rPr>
                <w:rFonts w:ascii="Arial" w:hAnsi="Arial" w:cs="Arial"/>
                <w:b/>
                <w:noProof/>
                <w:webHidden/>
                <w:color w:val="6C2768"/>
              </w:rPr>
              <w:fldChar w:fldCharType="end"/>
            </w:r>
          </w:hyperlink>
        </w:p>
        <w:p w:rsidR="001E116E" w:rsidRPr="001E116E" w:rsidRDefault="001E116E" w:rsidP="001E116E">
          <w:pPr>
            <w:rPr>
              <w:rFonts w:ascii="Arial" w:eastAsiaTheme="minorEastAsia" w:hAnsi="Arial" w:cs="Arial"/>
              <w:b/>
              <w:noProof/>
              <w:color w:val="6C2768"/>
              <w:lang w:eastAsia="en-GB"/>
            </w:rPr>
          </w:pPr>
        </w:p>
        <w:p w:rsidR="001E116E" w:rsidRPr="001E116E" w:rsidRDefault="00602146">
          <w:pPr>
            <w:pStyle w:val="TOC1"/>
            <w:rPr>
              <w:rFonts w:ascii="Arial" w:eastAsiaTheme="minorEastAsia" w:hAnsi="Arial" w:cs="Arial"/>
              <w:b/>
              <w:noProof/>
              <w:color w:val="6C2768"/>
              <w:sz w:val="22"/>
              <w:szCs w:val="22"/>
              <w:lang w:eastAsia="en-GB"/>
            </w:rPr>
          </w:pPr>
          <w:hyperlink w:anchor="_Toc424128487" w:history="1">
            <w:r w:rsidR="001E116E" w:rsidRPr="001E116E">
              <w:rPr>
                <w:rStyle w:val="Hyperlink"/>
                <w:rFonts w:ascii="Arial" w:hAnsi="Arial" w:cs="Arial"/>
                <w:b/>
                <w:bCs/>
                <w:noProof/>
                <w:color w:val="6C2768"/>
                <w:kern w:val="32"/>
                <w:lang w:eastAsia="en-GB"/>
              </w:rPr>
              <w:t>Appendix A: Visitor Economy Definition</w:t>
            </w:r>
            <w:r w:rsidR="001E116E" w:rsidRPr="001E116E">
              <w:rPr>
                <w:rFonts w:ascii="Arial" w:hAnsi="Arial" w:cs="Arial"/>
                <w:b/>
                <w:noProof/>
                <w:webHidden/>
                <w:color w:val="6C2768"/>
              </w:rPr>
              <w:tab/>
            </w:r>
            <w:r w:rsidR="006215C1" w:rsidRPr="001E116E">
              <w:rPr>
                <w:rFonts w:ascii="Arial" w:hAnsi="Arial" w:cs="Arial"/>
                <w:b/>
                <w:noProof/>
                <w:webHidden/>
                <w:color w:val="6C2768"/>
              </w:rPr>
              <w:fldChar w:fldCharType="begin"/>
            </w:r>
            <w:r w:rsidR="001E116E" w:rsidRPr="001E116E">
              <w:rPr>
                <w:rFonts w:ascii="Arial" w:hAnsi="Arial" w:cs="Arial"/>
                <w:b/>
                <w:noProof/>
                <w:webHidden/>
                <w:color w:val="6C2768"/>
              </w:rPr>
              <w:instrText xml:space="preserve"> PAGEREF _Toc424128487 \h </w:instrText>
            </w:r>
            <w:r w:rsidR="006215C1" w:rsidRPr="001E116E">
              <w:rPr>
                <w:rFonts w:ascii="Arial" w:hAnsi="Arial" w:cs="Arial"/>
                <w:b/>
                <w:noProof/>
                <w:webHidden/>
                <w:color w:val="6C2768"/>
              </w:rPr>
            </w:r>
            <w:r w:rsidR="006215C1" w:rsidRPr="001E116E">
              <w:rPr>
                <w:rFonts w:ascii="Arial" w:hAnsi="Arial" w:cs="Arial"/>
                <w:b/>
                <w:noProof/>
                <w:webHidden/>
                <w:color w:val="6C2768"/>
              </w:rPr>
              <w:fldChar w:fldCharType="separate"/>
            </w:r>
            <w:r w:rsidR="00B01110">
              <w:rPr>
                <w:rFonts w:ascii="Arial" w:hAnsi="Arial" w:cs="Arial"/>
                <w:b/>
                <w:noProof/>
                <w:webHidden/>
                <w:color w:val="6C2768"/>
              </w:rPr>
              <w:t>43</w:t>
            </w:r>
            <w:r w:rsidR="006215C1" w:rsidRPr="001E116E">
              <w:rPr>
                <w:rFonts w:ascii="Arial" w:hAnsi="Arial" w:cs="Arial"/>
                <w:b/>
                <w:noProof/>
                <w:webHidden/>
                <w:color w:val="6C2768"/>
              </w:rPr>
              <w:fldChar w:fldCharType="end"/>
            </w:r>
          </w:hyperlink>
        </w:p>
        <w:p w:rsidR="00971925" w:rsidRDefault="006215C1" w:rsidP="007C27B0">
          <w:pPr>
            <w:spacing w:line="480" w:lineRule="auto"/>
          </w:pPr>
          <w:r w:rsidRPr="001E116E">
            <w:rPr>
              <w:rFonts w:ascii="Arial" w:hAnsi="Arial" w:cs="Arial"/>
              <w:b/>
              <w:color w:val="6C2768"/>
            </w:rPr>
            <w:fldChar w:fldCharType="end"/>
          </w:r>
        </w:p>
      </w:sdtContent>
    </w:sdt>
    <w:p w:rsidR="007C27B0" w:rsidRDefault="00971925" w:rsidP="00971925">
      <w:pPr>
        <w:rPr>
          <w:rFonts w:ascii="Arial" w:hAnsi="Arial" w:cs="Arial"/>
          <w:b/>
          <w:sz w:val="36"/>
          <w:szCs w:val="36"/>
        </w:rPr>
        <w:sectPr w:rsidR="007C27B0" w:rsidSect="009D4C5D">
          <w:footerReference w:type="default" r:id="rId11"/>
          <w:pgSz w:w="16834" w:h="11909" w:orient="landscape" w:code="9"/>
          <w:pgMar w:top="1418" w:right="1440" w:bottom="1419" w:left="1440" w:header="720" w:footer="720" w:gutter="0"/>
          <w:pgNumType w:start="1"/>
          <w:cols w:space="720"/>
          <w:docGrid w:linePitch="360"/>
        </w:sectPr>
      </w:pPr>
      <w:r>
        <w:rPr>
          <w:rFonts w:ascii="Arial" w:hAnsi="Arial" w:cs="Arial"/>
          <w:b/>
          <w:sz w:val="36"/>
          <w:szCs w:val="36"/>
        </w:rPr>
        <w:br w:type="page"/>
      </w:r>
    </w:p>
    <w:p w:rsidR="00F95072" w:rsidRDefault="00D418C3" w:rsidP="009F133E">
      <w:pPr>
        <w:spacing w:before="120" w:after="120" w:line="264" w:lineRule="auto"/>
        <w:jc w:val="center"/>
        <w:rPr>
          <w:rFonts w:ascii="Arial" w:hAnsi="Arial" w:cs="Arial"/>
          <w:b/>
          <w:color w:val="660066"/>
          <w:sz w:val="22"/>
          <w:szCs w:val="22"/>
          <w:lang w:eastAsia="en-GB"/>
        </w:rPr>
      </w:pPr>
      <w:r>
        <w:rPr>
          <w:rFonts w:ascii="Arial" w:hAnsi="Arial" w:cs="Arial"/>
          <w:b/>
          <w:noProof/>
          <w:color w:val="660066"/>
          <w:sz w:val="22"/>
          <w:szCs w:val="2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-27305</wp:posOffset>
                </wp:positionV>
                <wp:extent cx="4304665" cy="559435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5594350"/>
                        </a:xfrm>
                        <a:prstGeom prst="rect">
                          <a:avLst/>
                        </a:prstGeom>
                        <a:solidFill>
                          <a:schemeClr val="accent4">
                            <a:lumMod val="20000"/>
                            <a:lumOff val="80000"/>
                          </a:schemeClr>
                        </a:solidFill>
                        <a:ln>
                          <a:noFill/>
                        </a:ln>
                        <a:effectLst/>
                        <a:extLst>
                          <a:ext uri="{91240B29-F687-4F45-9708-019B960494DF}">
                            <a14:hiddenLine xmlns:a14="http://schemas.microsoft.com/office/drawing/2010/main" w="12700">
                              <a:solidFill>
                                <a:schemeClr val="accent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rsidR="000A3998" w:rsidRPr="00F95072" w:rsidRDefault="000A3998" w:rsidP="00F95072">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About the Visitor Economy Skills Action Plan</w:t>
                            </w:r>
                            <w:r w:rsidRPr="00523BF3">
                              <w:rPr>
                                <w:b/>
                                <w:sz w:val="28"/>
                                <w:szCs w:val="28"/>
                              </w:rPr>
                              <w:t xml:space="preserve"> </w:t>
                            </w:r>
                          </w:p>
                          <w:p w:rsidR="000A3998" w:rsidRDefault="000A3998" w:rsidP="00570B2F">
                            <w:pPr>
                              <w:pStyle w:val="normalnumbered"/>
                              <w:tabs>
                                <w:tab w:val="clear" w:pos="2666"/>
                              </w:tabs>
                              <w:spacing w:line="264" w:lineRule="auto"/>
                              <w:ind w:left="0" w:right="40" w:firstLine="0"/>
                              <w:rPr>
                                <w:sz w:val="18"/>
                                <w:szCs w:val="18"/>
                              </w:rPr>
                            </w:pPr>
                            <w:r>
                              <w:rPr>
                                <w:sz w:val="18"/>
                                <w:szCs w:val="18"/>
                              </w:rPr>
                              <w:t>The visitor e</w:t>
                            </w:r>
                            <w:r w:rsidRPr="008F44E1">
                              <w:rPr>
                                <w:sz w:val="18"/>
                                <w:szCs w:val="18"/>
                              </w:rPr>
                              <w:t xml:space="preserve">conomy is one of seven key business sectors </w:t>
                            </w:r>
                            <w:r>
                              <w:rPr>
                                <w:sz w:val="18"/>
                                <w:szCs w:val="18"/>
                              </w:rPr>
                              <w:t xml:space="preserve">in Lancashire </w:t>
                            </w:r>
                            <w:r w:rsidRPr="008F44E1">
                              <w:rPr>
                                <w:sz w:val="18"/>
                                <w:szCs w:val="18"/>
                              </w:rPr>
                              <w:t>that the Local Enterpr</w:t>
                            </w:r>
                            <w:r>
                              <w:rPr>
                                <w:sz w:val="18"/>
                                <w:szCs w:val="18"/>
                              </w:rPr>
                              <w:t>i</w:t>
                            </w:r>
                            <w:r w:rsidRPr="008F44E1">
                              <w:rPr>
                                <w:sz w:val="18"/>
                                <w:szCs w:val="18"/>
                              </w:rPr>
                              <w:t xml:space="preserve">se Partnership </w:t>
                            </w:r>
                            <w:r>
                              <w:rPr>
                                <w:sz w:val="18"/>
                                <w:szCs w:val="18"/>
                              </w:rPr>
                              <w:t xml:space="preserve">(LEP) has identified </w:t>
                            </w:r>
                            <w:r w:rsidRPr="008F44E1">
                              <w:rPr>
                                <w:sz w:val="18"/>
                                <w:szCs w:val="18"/>
                              </w:rPr>
                              <w:t xml:space="preserve">as a </w:t>
                            </w:r>
                            <w:r>
                              <w:rPr>
                                <w:sz w:val="18"/>
                                <w:szCs w:val="18"/>
                              </w:rPr>
                              <w:t xml:space="preserve">future driver of </w:t>
                            </w:r>
                            <w:r w:rsidRPr="008F44E1">
                              <w:rPr>
                                <w:sz w:val="18"/>
                                <w:szCs w:val="18"/>
                              </w:rPr>
                              <w:t>jobs and wealth</w:t>
                            </w:r>
                            <w:r>
                              <w:rPr>
                                <w:sz w:val="18"/>
                                <w:szCs w:val="18"/>
                              </w:rPr>
                              <w:t>.  The visitor economy provides employment and up</w:t>
                            </w:r>
                            <w:r w:rsidRPr="008F44E1">
                              <w:rPr>
                                <w:sz w:val="18"/>
                                <w:szCs w:val="18"/>
                              </w:rPr>
                              <w:t>skilling opportunities, improves and protects the built and natural environments</w:t>
                            </w:r>
                            <w:r>
                              <w:rPr>
                                <w:sz w:val="18"/>
                                <w:szCs w:val="18"/>
                              </w:rPr>
                              <w:t xml:space="preserve"> and </w:t>
                            </w:r>
                            <w:r w:rsidRPr="008F44E1">
                              <w:rPr>
                                <w:sz w:val="18"/>
                                <w:szCs w:val="18"/>
                              </w:rPr>
                              <w:t>creates demand for high quality businesses and services</w:t>
                            </w:r>
                            <w:r>
                              <w:rPr>
                                <w:sz w:val="18"/>
                                <w:szCs w:val="18"/>
                              </w:rPr>
                              <w:t xml:space="preserve">. It contributes more than </w:t>
                            </w:r>
                            <w:r w:rsidRPr="009412E0">
                              <w:rPr>
                                <w:sz w:val="18"/>
                                <w:szCs w:val="18"/>
                              </w:rPr>
                              <w:t>£</w:t>
                            </w:r>
                            <w:r>
                              <w:rPr>
                                <w:sz w:val="18"/>
                                <w:szCs w:val="18"/>
                              </w:rPr>
                              <w:t>3bn</w:t>
                            </w:r>
                            <w:r w:rsidRPr="009412E0">
                              <w:rPr>
                                <w:sz w:val="18"/>
                                <w:szCs w:val="18"/>
                              </w:rPr>
                              <w:t xml:space="preserve"> </w:t>
                            </w:r>
                            <w:r>
                              <w:rPr>
                                <w:sz w:val="18"/>
                                <w:szCs w:val="18"/>
                              </w:rPr>
                              <w:t xml:space="preserve">a year to the county’s overall economy and supports more than 50,000 jobs, plus many more in the local supply chain. It is also growing: forecasts predict that nearly </w:t>
                            </w:r>
                            <w:r w:rsidRPr="008103DA">
                              <w:rPr>
                                <w:sz w:val="18"/>
                                <w:szCs w:val="18"/>
                              </w:rPr>
                              <w:t>4,000 more</w:t>
                            </w:r>
                            <w:r>
                              <w:rPr>
                                <w:sz w:val="18"/>
                                <w:szCs w:val="18"/>
                              </w:rPr>
                              <w:t xml:space="preserve"> full time equivalents will be required in the sector between 2014 and 2020.  </w:t>
                            </w:r>
                          </w:p>
                          <w:p w:rsidR="000A3998" w:rsidRPr="00C8217D" w:rsidRDefault="000A3998" w:rsidP="00570B2F">
                            <w:pPr>
                              <w:pStyle w:val="normalnumbered"/>
                              <w:tabs>
                                <w:tab w:val="clear" w:pos="2666"/>
                              </w:tabs>
                              <w:spacing w:line="264" w:lineRule="auto"/>
                              <w:ind w:left="0" w:right="40" w:firstLine="0"/>
                              <w:rPr>
                                <w:sz w:val="18"/>
                                <w:szCs w:val="18"/>
                              </w:rPr>
                            </w:pPr>
                            <w:r>
                              <w:rPr>
                                <w:sz w:val="18"/>
                                <w:szCs w:val="18"/>
                              </w:rPr>
                              <w:t xml:space="preserve">Nonetheless, recruitment challenges, high staff turnover and a range of skills issues are preventing it from achieving its potential.  The full breadth of jobs and careers in the sector is not accurately conveyed to young people, the rewards and opportunities it can offer are undersold and too often it is seen as a second best option or a stepping stone to a different career.   </w:t>
                            </w:r>
                          </w:p>
                          <w:p w:rsidR="000A3998" w:rsidRPr="00135D4B" w:rsidRDefault="000A3998" w:rsidP="00570B2F">
                            <w:pPr>
                              <w:pStyle w:val="normalnumbered"/>
                              <w:tabs>
                                <w:tab w:val="clear" w:pos="2666"/>
                              </w:tabs>
                              <w:spacing w:line="264" w:lineRule="auto"/>
                              <w:ind w:left="0" w:right="40" w:firstLine="0"/>
                              <w:rPr>
                                <w:sz w:val="18"/>
                                <w:szCs w:val="18"/>
                              </w:rPr>
                            </w:pPr>
                            <w:r w:rsidRPr="00135D4B">
                              <w:rPr>
                                <w:sz w:val="18"/>
                                <w:szCs w:val="18"/>
                              </w:rPr>
                              <w:t xml:space="preserve">The </w:t>
                            </w:r>
                            <w:r>
                              <w:rPr>
                                <w:sz w:val="18"/>
                                <w:szCs w:val="18"/>
                              </w:rPr>
                              <w:t xml:space="preserve">Lancashire LEP, Lancashire County Council and Marketing Lancashire </w:t>
                            </w:r>
                            <w:r w:rsidRPr="00135D4B">
                              <w:rPr>
                                <w:sz w:val="18"/>
                                <w:szCs w:val="18"/>
                              </w:rPr>
                              <w:t>ha</w:t>
                            </w:r>
                            <w:r>
                              <w:rPr>
                                <w:sz w:val="18"/>
                                <w:szCs w:val="18"/>
                              </w:rPr>
                              <w:t>ve</w:t>
                            </w:r>
                            <w:r w:rsidRPr="00135D4B">
                              <w:rPr>
                                <w:sz w:val="18"/>
                                <w:szCs w:val="18"/>
                              </w:rPr>
                              <w:t xml:space="preserve"> therefore produced this </w:t>
                            </w:r>
                            <w:r>
                              <w:rPr>
                                <w:sz w:val="18"/>
                                <w:szCs w:val="18"/>
                              </w:rPr>
                              <w:t xml:space="preserve">visitor economy skills plan in </w:t>
                            </w:r>
                            <w:r w:rsidRPr="00135D4B">
                              <w:rPr>
                                <w:sz w:val="18"/>
                                <w:szCs w:val="18"/>
                              </w:rPr>
                              <w:t xml:space="preserve">collaboration with employers, business organisations and the county’s network of </w:t>
                            </w:r>
                            <w:r>
                              <w:rPr>
                                <w:sz w:val="18"/>
                                <w:szCs w:val="18"/>
                              </w:rPr>
                              <w:t>skills</w:t>
                            </w:r>
                            <w:r w:rsidRPr="00135D4B">
                              <w:rPr>
                                <w:sz w:val="18"/>
                                <w:szCs w:val="18"/>
                              </w:rPr>
                              <w:t xml:space="preserve"> providers. It </w:t>
                            </w:r>
                            <w:r>
                              <w:rPr>
                                <w:sz w:val="18"/>
                                <w:szCs w:val="18"/>
                              </w:rPr>
                              <w:t>is</w:t>
                            </w:r>
                            <w:r w:rsidRPr="00135D4B">
                              <w:rPr>
                                <w:sz w:val="18"/>
                                <w:szCs w:val="18"/>
                              </w:rPr>
                              <w:t xml:space="preserve"> designed to </w:t>
                            </w:r>
                            <w:r>
                              <w:rPr>
                                <w:sz w:val="18"/>
                                <w:szCs w:val="18"/>
                              </w:rPr>
                              <w:t xml:space="preserve">help </w:t>
                            </w:r>
                            <w:r w:rsidRPr="00135D4B">
                              <w:rPr>
                                <w:sz w:val="18"/>
                                <w:szCs w:val="18"/>
                              </w:rPr>
                              <w:t xml:space="preserve">enable the provision of skills and learning </w:t>
                            </w:r>
                            <w:r>
                              <w:rPr>
                                <w:sz w:val="18"/>
                                <w:szCs w:val="18"/>
                              </w:rPr>
                              <w:t xml:space="preserve">to </w:t>
                            </w:r>
                            <w:r w:rsidRPr="00135D4B">
                              <w:rPr>
                                <w:sz w:val="18"/>
                                <w:szCs w:val="18"/>
                              </w:rPr>
                              <w:t>meet the needs of the county</w:t>
                            </w:r>
                            <w:r>
                              <w:rPr>
                                <w:sz w:val="18"/>
                                <w:szCs w:val="18"/>
                              </w:rPr>
                              <w:t xml:space="preserve">’s visitor economy and to support the delivery of Lancashire’s Visitor Economy Strategy, the Employment and Skills Strategic Framework and elements of Lancashire’s Strategic Economic Plan.  </w:t>
                            </w:r>
                            <w:r w:rsidRPr="00135D4B">
                              <w:rPr>
                                <w:sz w:val="18"/>
                                <w:szCs w:val="18"/>
                              </w:rPr>
                              <w:t xml:space="preserve">  </w:t>
                            </w:r>
                          </w:p>
                          <w:p w:rsidR="000A3998" w:rsidRPr="00CB5B08" w:rsidRDefault="000A3998" w:rsidP="00570B2F">
                            <w:pPr>
                              <w:pStyle w:val="normalnumbered"/>
                              <w:tabs>
                                <w:tab w:val="clear" w:pos="2666"/>
                              </w:tabs>
                              <w:spacing w:line="264" w:lineRule="auto"/>
                              <w:ind w:left="0" w:right="40" w:firstLine="0"/>
                              <w:rPr>
                                <w:sz w:val="18"/>
                                <w:szCs w:val="18"/>
                              </w:rPr>
                            </w:pPr>
                            <w:r w:rsidRPr="00D717D7">
                              <w:rPr>
                                <w:sz w:val="18"/>
                                <w:szCs w:val="18"/>
                              </w:rPr>
                              <w:t xml:space="preserve">The </w:t>
                            </w:r>
                            <w:r>
                              <w:rPr>
                                <w:sz w:val="18"/>
                                <w:szCs w:val="18"/>
                              </w:rPr>
                              <w:t>skills plan</w:t>
                            </w:r>
                            <w:r w:rsidRPr="00D717D7">
                              <w:rPr>
                                <w:sz w:val="18"/>
                                <w:szCs w:val="18"/>
                              </w:rPr>
                              <w:t xml:space="preserve"> is an operational document. It proposes a series of actions, each </w:t>
                            </w:r>
                            <w:r>
                              <w:rPr>
                                <w:sz w:val="18"/>
                                <w:szCs w:val="18"/>
                              </w:rPr>
                              <w:t xml:space="preserve">of </w:t>
                            </w:r>
                            <w:r w:rsidRPr="00D717D7">
                              <w:rPr>
                                <w:sz w:val="18"/>
                                <w:szCs w:val="18"/>
                              </w:rPr>
                              <w:t xml:space="preserve">which has been assigned a lead organisation </w:t>
                            </w:r>
                            <w:r>
                              <w:rPr>
                                <w:sz w:val="18"/>
                                <w:szCs w:val="18"/>
                              </w:rPr>
                              <w:t xml:space="preserve">with </w:t>
                            </w:r>
                            <w:r w:rsidRPr="00D717D7">
                              <w:rPr>
                                <w:sz w:val="18"/>
                                <w:szCs w:val="18"/>
                              </w:rPr>
                              <w:t xml:space="preserve">responsibility for </w:t>
                            </w:r>
                            <w:r>
                              <w:rPr>
                                <w:sz w:val="18"/>
                                <w:szCs w:val="18"/>
                              </w:rPr>
                              <w:t xml:space="preserve">its </w:t>
                            </w:r>
                            <w:r w:rsidRPr="00D717D7">
                              <w:rPr>
                                <w:sz w:val="18"/>
                                <w:szCs w:val="18"/>
                              </w:rPr>
                              <w:t xml:space="preserve">implementation. </w:t>
                            </w:r>
                            <w:r>
                              <w:rPr>
                                <w:sz w:val="18"/>
                                <w:szCs w:val="18"/>
                              </w:rPr>
                              <w:t xml:space="preserve"> The plan </w:t>
                            </w:r>
                            <w:r w:rsidRPr="00CB5B08">
                              <w:rPr>
                                <w:sz w:val="18"/>
                                <w:szCs w:val="18"/>
                              </w:rPr>
                              <w:t xml:space="preserve">will be a live document that </w:t>
                            </w:r>
                            <w:r>
                              <w:rPr>
                                <w:sz w:val="18"/>
                                <w:szCs w:val="18"/>
                              </w:rPr>
                              <w:t xml:space="preserve">is </w:t>
                            </w:r>
                            <w:r w:rsidRPr="00CB5B08">
                              <w:rPr>
                                <w:sz w:val="18"/>
                                <w:szCs w:val="18"/>
                              </w:rPr>
                              <w:t xml:space="preserve">reviewed and updated to ensure that the efforts of those involved in delivering </w:t>
                            </w:r>
                            <w:r>
                              <w:rPr>
                                <w:sz w:val="18"/>
                                <w:szCs w:val="18"/>
                              </w:rPr>
                              <w:t>it</w:t>
                            </w:r>
                            <w:r w:rsidRPr="00CB5B08">
                              <w:rPr>
                                <w:sz w:val="18"/>
                                <w:szCs w:val="18"/>
                              </w:rPr>
                              <w:t xml:space="preserve"> are channelled into activities where there is the greatest need for intervention</w:t>
                            </w:r>
                            <w:r>
                              <w:rPr>
                                <w:sz w:val="18"/>
                                <w:szCs w:val="18"/>
                              </w:rPr>
                              <w:t xml:space="preserve">. </w:t>
                            </w:r>
                            <w:r w:rsidRPr="00CB5B08">
                              <w:rPr>
                                <w:sz w:val="18"/>
                                <w:szCs w:val="18"/>
                              </w:rPr>
                              <w:t xml:space="preserve"> </w:t>
                            </w:r>
                            <w:r>
                              <w:rPr>
                                <w:sz w:val="18"/>
                                <w:szCs w:val="18"/>
                              </w:rPr>
                              <w:t xml:space="preserve"> </w:t>
                            </w:r>
                            <w:r w:rsidRPr="00CB5B08">
                              <w:rPr>
                                <w:sz w:val="18"/>
                                <w:szCs w:val="18"/>
                              </w:rPr>
                              <w:t xml:space="preserve"> </w:t>
                            </w:r>
                          </w:p>
                          <w:p w:rsidR="000A3998" w:rsidRPr="005968F0" w:rsidRDefault="000A3998" w:rsidP="00570B2F">
                            <w:pPr>
                              <w:pStyle w:val="normalnumbered"/>
                              <w:tabs>
                                <w:tab w:val="clear" w:pos="2666"/>
                              </w:tabs>
                              <w:spacing w:line="264" w:lineRule="auto"/>
                              <w:ind w:left="0" w:right="40" w:firstLine="0"/>
                              <w:rPr>
                                <w:sz w:val="18"/>
                                <w:szCs w:val="18"/>
                              </w:rPr>
                            </w:pPr>
                            <w:r>
                              <w:rPr>
                                <w:sz w:val="18"/>
                                <w:szCs w:val="18"/>
                              </w:rPr>
                              <w:t>The plan recognises that there is already forward momentum. The Blackpool Tourism Academy, take-up of high quality customer service training and capital investments in Further Education are just some of the developments that are in progress. The plan does not duplicate this good work, but rather seeks to introduce complementary activity that can help accelerate the pace of change.</w:t>
                            </w:r>
                            <w:r w:rsidRPr="00523BF3">
                              <w:t xml:space="preserve"> </w:t>
                            </w:r>
                          </w:p>
                          <w:p w:rsidR="000A3998" w:rsidRDefault="000A3998" w:rsidP="00570B2F">
                            <w:pPr>
                              <w:pStyle w:val="normalnumbered"/>
                              <w:tabs>
                                <w:tab w:val="clear" w:pos="2666"/>
                              </w:tabs>
                              <w:spacing w:line="264" w:lineRule="auto"/>
                              <w:ind w:left="0" w:right="40" w:firstLine="0"/>
                              <w:rPr>
                                <w:sz w:val="18"/>
                                <w:szCs w:val="18"/>
                              </w:rPr>
                            </w:pPr>
                            <w:r>
                              <w:rPr>
                                <w:sz w:val="18"/>
                                <w:szCs w:val="18"/>
                              </w:rPr>
                              <w:t>The visitor e</w:t>
                            </w:r>
                            <w:r w:rsidRPr="008F44E1">
                              <w:rPr>
                                <w:sz w:val="18"/>
                                <w:szCs w:val="18"/>
                              </w:rPr>
                              <w:t xml:space="preserve">conomy is one of seven key business sectors </w:t>
                            </w:r>
                            <w:r>
                              <w:rPr>
                                <w:sz w:val="18"/>
                                <w:szCs w:val="18"/>
                              </w:rPr>
                              <w:t xml:space="preserve">in Lancashire </w:t>
                            </w:r>
                            <w:r w:rsidRPr="008F44E1">
                              <w:rPr>
                                <w:sz w:val="18"/>
                                <w:szCs w:val="18"/>
                              </w:rPr>
                              <w:t>that the Local Enterpr</w:t>
                            </w:r>
                            <w:r>
                              <w:rPr>
                                <w:sz w:val="18"/>
                                <w:szCs w:val="18"/>
                              </w:rPr>
                              <w:t>i</w:t>
                            </w:r>
                            <w:r w:rsidRPr="008F44E1">
                              <w:rPr>
                                <w:sz w:val="18"/>
                                <w:szCs w:val="18"/>
                              </w:rPr>
                              <w:t xml:space="preserve">se Partnership </w:t>
                            </w:r>
                            <w:r>
                              <w:rPr>
                                <w:sz w:val="18"/>
                                <w:szCs w:val="18"/>
                              </w:rPr>
                              <w:t xml:space="preserve">(LEP) has identified </w:t>
                            </w:r>
                            <w:r w:rsidRPr="008F44E1">
                              <w:rPr>
                                <w:sz w:val="18"/>
                                <w:szCs w:val="18"/>
                              </w:rPr>
                              <w:t xml:space="preserve">as a </w:t>
                            </w:r>
                            <w:r>
                              <w:rPr>
                                <w:sz w:val="18"/>
                                <w:szCs w:val="18"/>
                              </w:rPr>
                              <w:t xml:space="preserve">future driver of </w:t>
                            </w:r>
                            <w:r w:rsidRPr="008F44E1">
                              <w:rPr>
                                <w:sz w:val="18"/>
                                <w:szCs w:val="18"/>
                              </w:rPr>
                              <w:t>jobs and wealth</w:t>
                            </w:r>
                            <w:r>
                              <w:rPr>
                                <w:sz w:val="18"/>
                                <w:szCs w:val="18"/>
                              </w:rPr>
                              <w:t>.  The visitor economy provides employment and up</w:t>
                            </w:r>
                            <w:r w:rsidRPr="008F44E1">
                              <w:rPr>
                                <w:sz w:val="18"/>
                                <w:szCs w:val="18"/>
                              </w:rPr>
                              <w:t>skilling opportunities, improves and protects the built and natural environments</w:t>
                            </w:r>
                            <w:r>
                              <w:rPr>
                                <w:sz w:val="18"/>
                                <w:szCs w:val="18"/>
                              </w:rPr>
                              <w:t xml:space="preserve"> and </w:t>
                            </w:r>
                            <w:r w:rsidRPr="008F44E1">
                              <w:rPr>
                                <w:sz w:val="18"/>
                                <w:szCs w:val="18"/>
                              </w:rPr>
                              <w:t>creates demand for high quality businesses and services</w:t>
                            </w:r>
                            <w:r>
                              <w:rPr>
                                <w:sz w:val="18"/>
                                <w:szCs w:val="18"/>
                              </w:rPr>
                              <w:t xml:space="preserve">. It contributes more than </w:t>
                            </w:r>
                            <w:r w:rsidRPr="009412E0">
                              <w:rPr>
                                <w:sz w:val="18"/>
                                <w:szCs w:val="18"/>
                              </w:rPr>
                              <w:t>£</w:t>
                            </w:r>
                            <w:r>
                              <w:rPr>
                                <w:sz w:val="18"/>
                                <w:szCs w:val="18"/>
                              </w:rPr>
                              <w:t>3bn</w:t>
                            </w:r>
                            <w:r w:rsidRPr="009412E0">
                              <w:rPr>
                                <w:sz w:val="18"/>
                                <w:szCs w:val="18"/>
                              </w:rPr>
                              <w:t xml:space="preserve"> </w:t>
                            </w:r>
                            <w:r>
                              <w:rPr>
                                <w:sz w:val="18"/>
                                <w:szCs w:val="18"/>
                              </w:rPr>
                              <w:t xml:space="preserve">a year to the county’s overall economy and supports more than 50,000 jobs, plus many more in the local supply chain. It is also growing: forecasts predict that nearly </w:t>
                            </w:r>
                            <w:r w:rsidRPr="008103DA">
                              <w:rPr>
                                <w:sz w:val="18"/>
                                <w:szCs w:val="18"/>
                              </w:rPr>
                              <w:t>4,000 more</w:t>
                            </w:r>
                            <w:r>
                              <w:rPr>
                                <w:sz w:val="18"/>
                                <w:szCs w:val="18"/>
                              </w:rPr>
                              <w:t xml:space="preserve"> full time equivalents will be required in the sector between 2014 and 2020.  </w:t>
                            </w:r>
                          </w:p>
                          <w:p w:rsidR="000A3998" w:rsidRPr="00C8217D" w:rsidRDefault="000A3998" w:rsidP="00570B2F">
                            <w:pPr>
                              <w:pStyle w:val="normalnumbered"/>
                              <w:tabs>
                                <w:tab w:val="clear" w:pos="2666"/>
                              </w:tabs>
                              <w:spacing w:line="264" w:lineRule="auto"/>
                              <w:ind w:left="0" w:right="40" w:firstLine="0"/>
                              <w:rPr>
                                <w:sz w:val="18"/>
                                <w:szCs w:val="18"/>
                              </w:rPr>
                            </w:pPr>
                            <w:r>
                              <w:rPr>
                                <w:sz w:val="18"/>
                                <w:szCs w:val="18"/>
                              </w:rPr>
                              <w:t xml:space="preserve">Nonetheless, recruitment challenges, high staff turnover and a range of skills issues are preventing it from achieving its potential.  The full breadth of jobs and careers in the sector is not accurately conveyed to young people, the rewards and opportunities it can offer are undersold and too often it is seen as a second best option or a stepping stone to a different career.   </w:t>
                            </w:r>
                          </w:p>
                          <w:p w:rsidR="000A3998" w:rsidRPr="00135D4B" w:rsidRDefault="000A3998" w:rsidP="00570B2F">
                            <w:pPr>
                              <w:pStyle w:val="normalnumbered"/>
                              <w:tabs>
                                <w:tab w:val="clear" w:pos="2666"/>
                              </w:tabs>
                              <w:spacing w:line="264" w:lineRule="auto"/>
                              <w:ind w:left="0" w:right="40" w:firstLine="0"/>
                              <w:rPr>
                                <w:sz w:val="18"/>
                                <w:szCs w:val="18"/>
                              </w:rPr>
                            </w:pPr>
                            <w:r w:rsidRPr="00135D4B">
                              <w:rPr>
                                <w:sz w:val="18"/>
                                <w:szCs w:val="18"/>
                              </w:rPr>
                              <w:t xml:space="preserve">The </w:t>
                            </w:r>
                            <w:r>
                              <w:rPr>
                                <w:sz w:val="18"/>
                                <w:szCs w:val="18"/>
                              </w:rPr>
                              <w:t xml:space="preserve">Lancashire LEP, Lancashire County Council and Marketing Lancashire </w:t>
                            </w:r>
                            <w:r w:rsidRPr="00135D4B">
                              <w:rPr>
                                <w:sz w:val="18"/>
                                <w:szCs w:val="18"/>
                              </w:rPr>
                              <w:t>ha</w:t>
                            </w:r>
                            <w:r>
                              <w:rPr>
                                <w:sz w:val="18"/>
                                <w:szCs w:val="18"/>
                              </w:rPr>
                              <w:t>ve</w:t>
                            </w:r>
                            <w:r w:rsidRPr="00135D4B">
                              <w:rPr>
                                <w:sz w:val="18"/>
                                <w:szCs w:val="18"/>
                              </w:rPr>
                              <w:t xml:space="preserve"> therefore produced this </w:t>
                            </w:r>
                            <w:r>
                              <w:rPr>
                                <w:sz w:val="18"/>
                                <w:szCs w:val="18"/>
                              </w:rPr>
                              <w:t xml:space="preserve">visitor economy skills plan in </w:t>
                            </w:r>
                            <w:r w:rsidRPr="00135D4B">
                              <w:rPr>
                                <w:sz w:val="18"/>
                                <w:szCs w:val="18"/>
                              </w:rPr>
                              <w:t xml:space="preserve">collaboration with employers, business organisations and the county’s network of </w:t>
                            </w:r>
                            <w:r>
                              <w:rPr>
                                <w:sz w:val="18"/>
                                <w:szCs w:val="18"/>
                              </w:rPr>
                              <w:t>skills</w:t>
                            </w:r>
                            <w:r w:rsidRPr="00135D4B">
                              <w:rPr>
                                <w:sz w:val="18"/>
                                <w:szCs w:val="18"/>
                              </w:rPr>
                              <w:t xml:space="preserve"> providers. It </w:t>
                            </w:r>
                            <w:r>
                              <w:rPr>
                                <w:sz w:val="18"/>
                                <w:szCs w:val="18"/>
                              </w:rPr>
                              <w:t>is</w:t>
                            </w:r>
                            <w:r w:rsidRPr="00135D4B">
                              <w:rPr>
                                <w:sz w:val="18"/>
                                <w:szCs w:val="18"/>
                              </w:rPr>
                              <w:t xml:space="preserve"> designed to </w:t>
                            </w:r>
                            <w:r>
                              <w:rPr>
                                <w:sz w:val="18"/>
                                <w:szCs w:val="18"/>
                              </w:rPr>
                              <w:t xml:space="preserve">help </w:t>
                            </w:r>
                            <w:r w:rsidRPr="00135D4B">
                              <w:rPr>
                                <w:sz w:val="18"/>
                                <w:szCs w:val="18"/>
                              </w:rPr>
                              <w:t xml:space="preserve">enable the provision of skills and learning </w:t>
                            </w:r>
                            <w:r>
                              <w:rPr>
                                <w:sz w:val="18"/>
                                <w:szCs w:val="18"/>
                              </w:rPr>
                              <w:t xml:space="preserve">to </w:t>
                            </w:r>
                            <w:r w:rsidRPr="00135D4B">
                              <w:rPr>
                                <w:sz w:val="18"/>
                                <w:szCs w:val="18"/>
                              </w:rPr>
                              <w:t>meet the needs of the county</w:t>
                            </w:r>
                            <w:r>
                              <w:rPr>
                                <w:sz w:val="18"/>
                                <w:szCs w:val="18"/>
                              </w:rPr>
                              <w:t xml:space="preserve">’s visitor economy and to support the delivery of Lancashire’s Visitor Economy Strategy, the Employment and Skills Strategic Framework and elements of Lancashire’s Strategic Economic Plan.  </w:t>
                            </w:r>
                            <w:r w:rsidRPr="00135D4B">
                              <w:rPr>
                                <w:sz w:val="18"/>
                                <w:szCs w:val="18"/>
                              </w:rPr>
                              <w:t xml:space="preserve">  </w:t>
                            </w:r>
                          </w:p>
                          <w:p w:rsidR="000A3998" w:rsidRPr="00CB5B08" w:rsidRDefault="000A3998" w:rsidP="00570B2F">
                            <w:pPr>
                              <w:pStyle w:val="normalnumbered"/>
                              <w:tabs>
                                <w:tab w:val="clear" w:pos="2666"/>
                              </w:tabs>
                              <w:spacing w:line="264" w:lineRule="auto"/>
                              <w:ind w:left="0" w:right="40" w:firstLine="0"/>
                              <w:rPr>
                                <w:sz w:val="18"/>
                                <w:szCs w:val="18"/>
                              </w:rPr>
                            </w:pPr>
                            <w:r w:rsidRPr="00D717D7">
                              <w:rPr>
                                <w:sz w:val="18"/>
                                <w:szCs w:val="18"/>
                              </w:rPr>
                              <w:t xml:space="preserve">The </w:t>
                            </w:r>
                            <w:r>
                              <w:rPr>
                                <w:sz w:val="18"/>
                                <w:szCs w:val="18"/>
                              </w:rPr>
                              <w:t>skills plan</w:t>
                            </w:r>
                            <w:r w:rsidRPr="00D717D7">
                              <w:rPr>
                                <w:sz w:val="18"/>
                                <w:szCs w:val="18"/>
                              </w:rPr>
                              <w:t xml:space="preserve"> is an operational document. It proposes a series of actions, each </w:t>
                            </w:r>
                            <w:r>
                              <w:rPr>
                                <w:sz w:val="18"/>
                                <w:szCs w:val="18"/>
                              </w:rPr>
                              <w:t xml:space="preserve">of </w:t>
                            </w:r>
                            <w:r w:rsidRPr="00D717D7">
                              <w:rPr>
                                <w:sz w:val="18"/>
                                <w:szCs w:val="18"/>
                              </w:rPr>
                              <w:t xml:space="preserve">which has been assigned a lead organisation </w:t>
                            </w:r>
                            <w:r>
                              <w:rPr>
                                <w:sz w:val="18"/>
                                <w:szCs w:val="18"/>
                              </w:rPr>
                              <w:t xml:space="preserve">with </w:t>
                            </w:r>
                            <w:r w:rsidRPr="00D717D7">
                              <w:rPr>
                                <w:sz w:val="18"/>
                                <w:szCs w:val="18"/>
                              </w:rPr>
                              <w:t xml:space="preserve">responsibility for </w:t>
                            </w:r>
                            <w:r>
                              <w:rPr>
                                <w:sz w:val="18"/>
                                <w:szCs w:val="18"/>
                              </w:rPr>
                              <w:t xml:space="preserve">its </w:t>
                            </w:r>
                            <w:r w:rsidRPr="00D717D7">
                              <w:rPr>
                                <w:sz w:val="18"/>
                                <w:szCs w:val="18"/>
                              </w:rPr>
                              <w:t xml:space="preserve">implementation. </w:t>
                            </w:r>
                            <w:r>
                              <w:rPr>
                                <w:sz w:val="18"/>
                                <w:szCs w:val="18"/>
                              </w:rPr>
                              <w:t xml:space="preserve"> The plan </w:t>
                            </w:r>
                            <w:r w:rsidRPr="00CB5B08">
                              <w:rPr>
                                <w:sz w:val="18"/>
                                <w:szCs w:val="18"/>
                              </w:rPr>
                              <w:t xml:space="preserve">will be a live document that </w:t>
                            </w:r>
                            <w:r>
                              <w:rPr>
                                <w:sz w:val="18"/>
                                <w:szCs w:val="18"/>
                              </w:rPr>
                              <w:t xml:space="preserve">is </w:t>
                            </w:r>
                            <w:r w:rsidRPr="00CB5B08">
                              <w:rPr>
                                <w:sz w:val="18"/>
                                <w:szCs w:val="18"/>
                              </w:rPr>
                              <w:t xml:space="preserve">reviewed and updated to ensure that the efforts of those involved in delivering </w:t>
                            </w:r>
                            <w:r>
                              <w:rPr>
                                <w:sz w:val="18"/>
                                <w:szCs w:val="18"/>
                              </w:rPr>
                              <w:t>it</w:t>
                            </w:r>
                            <w:r w:rsidRPr="00CB5B08">
                              <w:rPr>
                                <w:sz w:val="18"/>
                                <w:szCs w:val="18"/>
                              </w:rPr>
                              <w:t xml:space="preserve"> are channelled into activities where there is the greatest need for intervention</w:t>
                            </w:r>
                            <w:r>
                              <w:rPr>
                                <w:sz w:val="18"/>
                                <w:szCs w:val="18"/>
                              </w:rPr>
                              <w:t xml:space="preserve">. </w:t>
                            </w:r>
                            <w:r w:rsidRPr="00CB5B08">
                              <w:rPr>
                                <w:sz w:val="18"/>
                                <w:szCs w:val="18"/>
                              </w:rPr>
                              <w:t xml:space="preserve"> </w:t>
                            </w:r>
                            <w:r>
                              <w:rPr>
                                <w:sz w:val="18"/>
                                <w:szCs w:val="18"/>
                              </w:rPr>
                              <w:t xml:space="preserve"> </w:t>
                            </w:r>
                            <w:r w:rsidRPr="00CB5B08">
                              <w:rPr>
                                <w:sz w:val="18"/>
                                <w:szCs w:val="18"/>
                              </w:rPr>
                              <w:t xml:space="preserve"> </w:t>
                            </w:r>
                          </w:p>
                          <w:p w:rsidR="000A3998" w:rsidRPr="005968F0" w:rsidRDefault="000A3998" w:rsidP="00570B2F">
                            <w:pPr>
                              <w:pStyle w:val="normalnumbered"/>
                              <w:tabs>
                                <w:tab w:val="clear" w:pos="2666"/>
                              </w:tabs>
                              <w:spacing w:line="264" w:lineRule="auto"/>
                              <w:ind w:left="0" w:right="40" w:firstLine="0"/>
                              <w:rPr>
                                <w:sz w:val="18"/>
                                <w:szCs w:val="18"/>
                              </w:rPr>
                            </w:pPr>
                            <w:r>
                              <w:rPr>
                                <w:sz w:val="18"/>
                                <w:szCs w:val="18"/>
                              </w:rPr>
                              <w:t>The plan recognises that there is already forward momentum. The Blackpool Tourism Academy, take-up of high quality customer service training and capital investments in Further Education are just some of the developments that are in progress. The plan does not duplicate this good work, but rather seeks to introduce complementary activity that can help accelerate the pace of change.</w:t>
                            </w:r>
                            <w:r w:rsidRPr="00523BF3">
                              <w:t xml:space="preserve"> </w:t>
                            </w:r>
                          </w:p>
                          <w:p w:rsidR="000A3998" w:rsidRPr="005968F0" w:rsidRDefault="000A3998" w:rsidP="005968F0">
                            <w:pPr>
                              <w:pStyle w:val="normalnumbered"/>
                              <w:tabs>
                                <w:tab w:val="clear" w:pos="2666"/>
                              </w:tabs>
                              <w:spacing w:line="264" w:lineRule="auto"/>
                              <w:ind w:left="0" w:right="40" w:firstLine="0"/>
                              <w:rPr>
                                <w:sz w:val="18"/>
                                <w:szCs w:val="18"/>
                              </w:rPr>
                            </w:pPr>
                            <w:r>
                              <w:rPr>
                                <w:sz w:val="18"/>
                                <w:szCs w:val="18"/>
                              </w:rPr>
                              <w:t>.</w:t>
                            </w:r>
                            <w:r w:rsidRPr="00523BF3">
                              <w:t xml:space="preserve"> </w:t>
                            </w:r>
                          </w:p>
                          <w:p w:rsidR="000A3998" w:rsidRPr="00523BF3" w:rsidRDefault="000A3998" w:rsidP="00F95072">
                            <w:pPr>
                              <w:pStyle w:val="normalnumbered"/>
                              <w:tabs>
                                <w:tab w:val="clear" w:pos="2666"/>
                              </w:tabs>
                              <w:spacing w:line="288" w:lineRule="auto"/>
                              <w:ind w:left="0" w:right="-31" w:firstLine="0"/>
                            </w:pPr>
                            <w:r w:rsidRPr="00523BF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15pt;width:338.95pt;height:4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" fillcolor="#e5dfec [663]" stroked="f" strokecolor="#4f81bd [3204]" strokeweight="1pt">
                <v:shadow color="#243f60 [1604]" offset="1pt"/>
                <v:textbox>
                  <w:txbxContent>
                    <w:p w:rsidR="000A3998" w:rsidRPr="00F95072" w:rsidRDefault="000A3998" w:rsidP="00F95072">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About the Visitor Economy Skills Action Plan</w:t>
                      </w:r>
                      <w:r w:rsidRPr="00523BF3">
                        <w:rPr>
                          <w:b/>
                          <w:sz w:val="28"/>
                          <w:szCs w:val="28"/>
                        </w:rPr>
                        <w:t xml:space="preserve"> </w:t>
                      </w:r>
                    </w:p>
                    <w:p w:rsidR="000A3998" w:rsidRDefault="000A3998" w:rsidP="00570B2F">
                      <w:pPr>
                        <w:pStyle w:val="normalnumbered"/>
                        <w:tabs>
                          <w:tab w:val="clear" w:pos="2666"/>
                        </w:tabs>
                        <w:spacing w:line="264" w:lineRule="auto"/>
                        <w:ind w:left="0" w:right="40" w:firstLine="0"/>
                        <w:rPr>
                          <w:sz w:val="18"/>
                          <w:szCs w:val="18"/>
                        </w:rPr>
                      </w:pPr>
                      <w:r>
                        <w:rPr>
                          <w:sz w:val="18"/>
                          <w:szCs w:val="18"/>
                        </w:rPr>
                        <w:t>The visitor e</w:t>
                      </w:r>
                      <w:r w:rsidRPr="008F44E1">
                        <w:rPr>
                          <w:sz w:val="18"/>
                          <w:szCs w:val="18"/>
                        </w:rPr>
                        <w:t xml:space="preserve">conomy is one of seven key business sectors </w:t>
                      </w:r>
                      <w:r>
                        <w:rPr>
                          <w:sz w:val="18"/>
                          <w:szCs w:val="18"/>
                        </w:rPr>
                        <w:t xml:space="preserve">in Lancashire </w:t>
                      </w:r>
                      <w:r w:rsidRPr="008F44E1">
                        <w:rPr>
                          <w:sz w:val="18"/>
                          <w:szCs w:val="18"/>
                        </w:rPr>
                        <w:t>that the Local Enterpr</w:t>
                      </w:r>
                      <w:r>
                        <w:rPr>
                          <w:sz w:val="18"/>
                          <w:szCs w:val="18"/>
                        </w:rPr>
                        <w:t>i</w:t>
                      </w:r>
                      <w:r w:rsidRPr="008F44E1">
                        <w:rPr>
                          <w:sz w:val="18"/>
                          <w:szCs w:val="18"/>
                        </w:rPr>
                        <w:t xml:space="preserve">se Partnership </w:t>
                      </w:r>
                      <w:r>
                        <w:rPr>
                          <w:sz w:val="18"/>
                          <w:szCs w:val="18"/>
                        </w:rPr>
                        <w:t xml:space="preserve">(LEP) has identified </w:t>
                      </w:r>
                      <w:r w:rsidRPr="008F44E1">
                        <w:rPr>
                          <w:sz w:val="18"/>
                          <w:szCs w:val="18"/>
                        </w:rPr>
                        <w:t xml:space="preserve">as a </w:t>
                      </w:r>
                      <w:r>
                        <w:rPr>
                          <w:sz w:val="18"/>
                          <w:szCs w:val="18"/>
                        </w:rPr>
                        <w:t xml:space="preserve">future driver of </w:t>
                      </w:r>
                      <w:r w:rsidRPr="008F44E1">
                        <w:rPr>
                          <w:sz w:val="18"/>
                          <w:szCs w:val="18"/>
                        </w:rPr>
                        <w:t>jobs and wealth</w:t>
                      </w:r>
                      <w:r>
                        <w:rPr>
                          <w:sz w:val="18"/>
                          <w:szCs w:val="18"/>
                        </w:rPr>
                        <w:t>.  The visitor economy provides employment and up</w:t>
                      </w:r>
                      <w:r w:rsidRPr="008F44E1">
                        <w:rPr>
                          <w:sz w:val="18"/>
                          <w:szCs w:val="18"/>
                        </w:rPr>
                        <w:t>skilling opportunities, improves and protects the built and natural environments</w:t>
                      </w:r>
                      <w:r>
                        <w:rPr>
                          <w:sz w:val="18"/>
                          <w:szCs w:val="18"/>
                        </w:rPr>
                        <w:t xml:space="preserve"> and </w:t>
                      </w:r>
                      <w:r w:rsidRPr="008F44E1">
                        <w:rPr>
                          <w:sz w:val="18"/>
                          <w:szCs w:val="18"/>
                        </w:rPr>
                        <w:t>creates demand for high quality businesses and services</w:t>
                      </w:r>
                      <w:r>
                        <w:rPr>
                          <w:sz w:val="18"/>
                          <w:szCs w:val="18"/>
                        </w:rPr>
                        <w:t xml:space="preserve">. It contributes more than </w:t>
                      </w:r>
                      <w:r w:rsidRPr="009412E0">
                        <w:rPr>
                          <w:sz w:val="18"/>
                          <w:szCs w:val="18"/>
                        </w:rPr>
                        <w:t>£</w:t>
                      </w:r>
                      <w:r>
                        <w:rPr>
                          <w:sz w:val="18"/>
                          <w:szCs w:val="18"/>
                        </w:rPr>
                        <w:t>3bn</w:t>
                      </w:r>
                      <w:r w:rsidRPr="009412E0">
                        <w:rPr>
                          <w:sz w:val="18"/>
                          <w:szCs w:val="18"/>
                        </w:rPr>
                        <w:t xml:space="preserve"> </w:t>
                      </w:r>
                      <w:r>
                        <w:rPr>
                          <w:sz w:val="18"/>
                          <w:szCs w:val="18"/>
                        </w:rPr>
                        <w:t xml:space="preserve">a year to the county’s overall economy and supports more than 50,000 jobs, plus many more in the local supply chain. It is also growing: forecasts predict that nearly </w:t>
                      </w:r>
                      <w:r w:rsidRPr="008103DA">
                        <w:rPr>
                          <w:sz w:val="18"/>
                          <w:szCs w:val="18"/>
                        </w:rPr>
                        <w:t>4,000 more</w:t>
                      </w:r>
                      <w:r>
                        <w:rPr>
                          <w:sz w:val="18"/>
                          <w:szCs w:val="18"/>
                        </w:rPr>
                        <w:t xml:space="preserve"> full time equivalents will be required in the sector between 2014 and 2020.  </w:t>
                      </w:r>
                    </w:p>
                    <w:p w:rsidR="000A3998" w:rsidRPr="00C8217D" w:rsidRDefault="000A3998" w:rsidP="00570B2F">
                      <w:pPr>
                        <w:pStyle w:val="normalnumbered"/>
                        <w:tabs>
                          <w:tab w:val="clear" w:pos="2666"/>
                        </w:tabs>
                        <w:spacing w:line="264" w:lineRule="auto"/>
                        <w:ind w:left="0" w:right="40" w:firstLine="0"/>
                        <w:rPr>
                          <w:sz w:val="18"/>
                          <w:szCs w:val="18"/>
                        </w:rPr>
                      </w:pPr>
                      <w:r>
                        <w:rPr>
                          <w:sz w:val="18"/>
                          <w:szCs w:val="18"/>
                        </w:rPr>
                        <w:t xml:space="preserve">Nonetheless, recruitment challenges, high staff turnover and a range of skills issues are preventing it from achieving its potential.  The full breadth of jobs and careers in the sector is not accurately conveyed to young people, the rewards and opportunities it can offer are undersold and too often it is seen as a second best option or a stepping stone to a different career.   </w:t>
                      </w:r>
                    </w:p>
                    <w:p w:rsidR="000A3998" w:rsidRPr="00135D4B" w:rsidRDefault="000A3998" w:rsidP="00570B2F">
                      <w:pPr>
                        <w:pStyle w:val="normalnumbered"/>
                        <w:tabs>
                          <w:tab w:val="clear" w:pos="2666"/>
                        </w:tabs>
                        <w:spacing w:line="264" w:lineRule="auto"/>
                        <w:ind w:left="0" w:right="40" w:firstLine="0"/>
                        <w:rPr>
                          <w:sz w:val="18"/>
                          <w:szCs w:val="18"/>
                        </w:rPr>
                      </w:pPr>
                      <w:r w:rsidRPr="00135D4B">
                        <w:rPr>
                          <w:sz w:val="18"/>
                          <w:szCs w:val="18"/>
                        </w:rPr>
                        <w:t xml:space="preserve">The </w:t>
                      </w:r>
                      <w:r>
                        <w:rPr>
                          <w:sz w:val="18"/>
                          <w:szCs w:val="18"/>
                        </w:rPr>
                        <w:t xml:space="preserve">Lancashire LEP, Lancashire County Council and Marketing Lancashire </w:t>
                      </w:r>
                      <w:r w:rsidRPr="00135D4B">
                        <w:rPr>
                          <w:sz w:val="18"/>
                          <w:szCs w:val="18"/>
                        </w:rPr>
                        <w:t>ha</w:t>
                      </w:r>
                      <w:r>
                        <w:rPr>
                          <w:sz w:val="18"/>
                          <w:szCs w:val="18"/>
                        </w:rPr>
                        <w:t>ve</w:t>
                      </w:r>
                      <w:r w:rsidRPr="00135D4B">
                        <w:rPr>
                          <w:sz w:val="18"/>
                          <w:szCs w:val="18"/>
                        </w:rPr>
                        <w:t xml:space="preserve"> therefore produced this </w:t>
                      </w:r>
                      <w:r>
                        <w:rPr>
                          <w:sz w:val="18"/>
                          <w:szCs w:val="18"/>
                        </w:rPr>
                        <w:t xml:space="preserve">visitor economy skills plan in </w:t>
                      </w:r>
                      <w:r w:rsidRPr="00135D4B">
                        <w:rPr>
                          <w:sz w:val="18"/>
                          <w:szCs w:val="18"/>
                        </w:rPr>
                        <w:t xml:space="preserve">collaboration with employers, business organisations and the county’s network of </w:t>
                      </w:r>
                      <w:r>
                        <w:rPr>
                          <w:sz w:val="18"/>
                          <w:szCs w:val="18"/>
                        </w:rPr>
                        <w:t>skills</w:t>
                      </w:r>
                      <w:r w:rsidRPr="00135D4B">
                        <w:rPr>
                          <w:sz w:val="18"/>
                          <w:szCs w:val="18"/>
                        </w:rPr>
                        <w:t xml:space="preserve"> providers. It </w:t>
                      </w:r>
                      <w:r>
                        <w:rPr>
                          <w:sz w:val="18"/>
                          <w:szCs w:val="18"/>
                        </w:rPr>
                        <w:t>is</w:t>
                      </w:r>
                      <w:r w:rsidRPr="00135D4B">
                        <w:rPr>
                          <w:sz w:val="18"/>
                          <w:szCs w:val="18"/>
                        </w:rPr>
                        <w:t xml:space="preserve"> designed to </w:t>
                      </w:r>
                      <w:r>
                        <w:rPr>
                          <w:sz w:val="18"/>
                          <w:szCs w:val="18"/>
                        </w:rPr>
                        <w:t xml:space="preserve">help </w:t>
                      </w:r>
                      <w:r w:rsidRPr="00135D4B">
                        <w:rPr>
                          <w:sz w:val="18"/>
                          <w:szCs w:val="18"/>
                        </w:rPr>
                        <w:t xml:space="preserve">enable the provision of skills and learning </w:t>
                      </w:r>
                      <w:r>
                        <w:rPr>
                          <w:sz w:val="18"/>
                          <w:szCs w:val="18"/>
                        </w:rPr>
                        <w:t xml:space="preserve">to </w:t>
                      </w:r>
                      <w:r w:rsidRPr="00135D4B">
                        <w:rPr>
                          <w:sz w:val="18"/>
                          <w:szCs w:val="18"/>
                        </w:rPr>
                        <w:t>meet the needs of the county</w:t>
                      </w:r>
                      <w:r>
                        <w:rPr>
                          <w:sz w:val="18"/>
                          <w:szCs w:val="18"/>
                        </w:rPr>
                        <w:t xml:space="preserve">’s visitor economy and to support the delivery of Lancashire’s Visitor Economy Strategy, the Employment and Skills Strategic Framework and elements of Lancashire’s Strategic Economic Plan.  </w:t>
                      </w:r>
                      <w:r w:rsidRPr="00135D4B">
                        <w:rPr>
                          <w:sz w:val="18"/>
                          <w:szCs w:val="18"/>
                        </w:rPr>
                        <w:t xml:space="preserve">  </w:t>
                      </w:r>
                    </w:p>
                    <w:p w:rsidR="000A3998" w:rsidRPr="00CB5B08" w:rsidRDefault="000A3998" w:rsidP="00570B2F">
                      <w:pPr>
                        <w:pStyle w:val="normalnumbered"/>
                        <w:tabs>
                          <w:tab w:val="clear" w:pos="2666"/>
                        </w:tabs>
                        <w:spacing w:line="264" w:lineRule="auto"/>
                        <w:ind w:left="0" w:right="40" w:firstLine="0"/>
                        <w:rPr>
                          <w:sz w:val="18"/>
                          <w:szCs w:val="18"/>
                        </w:rPr>
                      </w:pPr>
                      <w:r w:rsidRPr="00D717D7">
                        <w:rPr>
                          <w:sz w:val="18"/>
                          <w:szCs w:val="18"/>
                        </w:rPr>
                        <w:t xml:space="preserve">The </w:t>
                      </w:r>
                      <w:r>
                        <w:rPr>
                          <w:sz w:val="18"/>
                          <w:szCs w:val="18"/>
                        </w:rPr>
                        <w:t>skills plan</w:t>
                      </w:r>
                      <w:r w:rsidRPr="00D717D7">
                        <w:rPr>
                          <w:sz w:val="18"/>
                          <w:szCs w:val="18"/>
                        </w:rPr>
                        <w:t xml:space="preserve"> is an operational document. It proposes a series of actions, each </w:t>
                      </w:r>
                      <w:r>
                        <w:rPr>
                          <w:sz w:val="18"/>
                          <w:szCs w:val="18"/>
                        </w:rPr>
                        <w:t xml:space="preserve">of </w:t>
                      </w:r>
                      <w:r w:rsidRPr="00D717D7">
                        <w:rPr>
                          <w:sz w:val="18"/>
                          <w:szCs w:val="18"/>
                        </w:rPr>
                        <w:t xml:space="preserve">which has been assigned a lead organisation </w:t>
                      </w:r>
                      <w:r>
                        <w:rPr>
                          <w:sz w:val="18"/>
                          <w:szCs w:val="18"/>
                        </w:rPr>
                        <w:t xml:space="preserve">with </w:t>
                      </w:r>
                      <w:r w:rsidRPr="00D717D7">
                        <w:rPr>
                          <w:sz w:val="18"/>
                          <w:szCs w:val="18"/>
                        </w:rPr>
                        <w:t xml:space="preserve">responsibility for </w:t>
                      </w:r>
                      <w:r>
                        <w:rPr>
                          <w:sz w:val="18"/>
                          <w:szCs w:val="18"/>
                        </w:rPr>
                        <w:t xml:space="preserve">its </w:t>
                      </w:r>
                      <w:r w:rsidRPr="00D717D7">
                        <w:rPr>
                          <w:sz w:val="18"/>
                          <w:szCs w:val="18"/>
                        </w:rPr>
                        <w:t xml:space="preserve">implementation. </w:t>
                      </w:r>
                      <w:r>
                        <w:rPr>
                          <w:sz w:val="18"/>
                          <w:szCs w:val="18"/>
                        </w:rPr>
                        <w:t xml:space="preserve"> The plan </w:t>
                      </w:r>
                      <w:r w:rsidRPr="00CB5B08">
                        <w:rPr>
                          <w:sz w:val="18"/>
                          <w:szCs w:val="18"/>
                        </w:rPr>
                        <w:t xml:space="preserve">will be a live document that </w:t>
                      </w:r>
                      <w:r>
                        <w:rPr>
                          <w:sz w:val="18"/>
                          <w:szCs w:val="18"/>
                        </w:rPr>
                        <w:t xml:space="preserve">is </w:t>
                      </w:r>
                      <w:r w:rsidRPr="00CB5B08">
                        <w:rPr>
                          <w:sz w:val="18"/>
                          <w:szCs w:val="18"/>
                        </w:rPr>
                        <w:t xml:space="preserve">reviewed and updated to ensure that the efforts of those involved in delivering </w:t>
                      </w:r>
                      <w:r>
                        <w:rPr>
                          <w:sz w:val="18"/>
                          <w:szCs w:val="18"/>
                        </w:rPr>
                        <w:t>it</w:t>
                      </w:r>
                      <w:r w:rsidRPr="00CB5B08">
                        <w:rPr>
                          <w:sz w:val="18"/>
                          <w:szCs w:val="18"/>
                        </w:rPr>
                        <w:t xml:space="preserve"> are channelled into activities where there is the greatest need for intervention</w:t>
                      </w:r>
                      <w:r>
                        <w:rPr>
                          <w:sz w:val="18"/>
                          <w:szCs w:val="18"/>
                        </w:rPr>
                        <w:t xml:space="preserve">. </w:t>
                      </w:r>
                      <w:r w:rsidRPr="00CB5B08">
                        <w:rPr>
                          <w:sz w:val="18"/>
                          <w:szCs w:val="18"/>
                        </w:rPr>
                        <w:t xml:space="preserve"> </w:t>
                      </w:r>
                      <w:r>
                        <w:rPr>
                          <w:sz w:val="18"/>
                          <w:szCs w:val="18"/>
                        </w:rPr>
                        <w:t xml:space="preserve"> </w:t>
                      </w:r>
                      <w:r w:rsidRPr="00CB5B08">
                        <w:rPr>
                          <w:sz w:val="18"/>
                          <w:szCs w:val="18"/>
                        </w:rPr>
                        <w:t xml:space="preserve"> </w:t>
                      </w:r>
                    </w:p>
                    <w:p w:rsidR="000A3998" w:rsidRPr="005968F0" w:rsidRDefault="000A3998" w:rsidP="00570B2F">
                      <w:pPr>
                        <w:pStyle w:val="normalnumbered"/>
                        <w:tabs>
                          <w:tab w:val="clear" w:pos="2666"/>
                        </w:tabs>
                        <w:spacing w:line="264" w:lineRule="auto"/>
                        <w:ind w:left="0" w:right="40" w:firstLine="0"/>
                        <w:rPr>
                          <w:sz w:val="18"/>
                          <w:szCs w:val="18"/>
                        </w:rPr>
                      </w:pPr>
                      <w:r>
                        <w:rPr>
                          <w:sz w:val="18"/>
                          <w:szCs w:val="18"/>
                        </w:rPr>
                        <w:t>The plan recognises that there is already forward momentum. The Blackpool Tourism Academy, take-up of high quality customer service training and capital investments in Further Education are just some of the developments that are in progress. The plan does not duplicate this good work, but rather seeks to introduce complementary activity that can help accelerate the pace of change.</w:t>
                      </w:r>
                      <w:r w:rsidRPr="00523BF3">
                        <w:t xml:space="preserve"> </w:t>
                      </w:r>
                    </w:p>
                    <w:p w:rsidR="000A3998" w:rsidRDefault="000A3998" w:rsidP="00570B2F">
                      <w:pPr>
                        <w:pStyle w:val="normalnumbered"/>
                        <w:tabs>
                          <w:tab w:val="clear" w:pos="2666"/>
                        </w:tabs>
                        <w:spacing w:line="264" w:lineRule="auto"/>
                        <w:ind w:left="0" w:right="40" w:firstLine="0"/>
                        <w:rPr>
                          <w:sz w:val="18"/>
                          <w:szCs w:val="18"/>
                        </w:rPr>
                      </w:pPr>
                      <w:r>
                        <w:rPr>
                          <w:sz w:val="18"/>
                          <w:szCs w:val="18"/>
                        </w:rPr>
                        <w:t>The visitor e</w:t>
                      </w:r>
                      <w:r w:rsidRPr="008F44E1">
                        <w:rPr>
                          <w:sz w:val="18"/>
                          <w:szCs w:val="18"/>
                        </w:rPr>
                        <w:t xml:space="preserve">conomy is one of seven key business sectors </w:t>
                      </w:r>
                      <w:r>
                        <w:rPr>
                          <w:sz w:val="18"/>
                          <w:szCs w:val="18"/>
                        </w:rPr>
                        <w:t xml:space="preserve">in Lancashire </w:t>
                      </w:r>
                      <w:r w:rsidRPr="008F44E1">
                        <w:rPr>
                          <w:sz w:val="18"/>
                          <w:szCs w:val="18"/>
                        </w:rPr>
                        <w:t>that the Local Enterpr</w:t>
                      </w:r>
                      <w:r>
                        <w:rPr>
                          <w:sz w:val="18"/>
                          <w:szCs w:val="18"/>
                        </w:rPr>
                        <w:t>i</w:t>
                      </w:r>
                      <w:r w:rsidRPr="008F44E1">
                        <w:rPr>
                          <w:sz w:val="18"/>
                          <w:szCs w:val="18"/>
                        </w:rPr>
                        <w:t xml:space="preserve">se Partnership </w:t>
                      </w:r>
                      <w:r>
                        <w:rPr>
                          <w:sz w:val="18"/>
                          <w:szCs w:val="18"/>
                        </w:rPr>
                        <w:t xml:space="preserve">(LEP) has identified </w:t>
                      </w:r>
                      <w:r w:rsidRPr="008F44E1">
                        <w:rPr>
                          <w:sz w:val="18"/>
                          <w:szCs w:val="18"/>
                        </w:rPr>
                        <w:t xml:space="preserve">as a </w:t>
                      </w:r>
                      <w:r>
                        <w:rPr>
                          <w:sz w:val="18"/>
                          <w:szCs w:val="18"/>
                        </w:rPr>
                        <w:t xml:space="preserve">future driver of </w:t>
                      </w:r>
                      <w:r w:rsidRPr="008F44E1">
                        <w:rPr>
                          <w:sz w:val="18"/>
                          <w:szCs w:val="18"/>
                        </w:rPr>
                        <w:t>jobs and wealth</w:t>
                      </w:r>
                      <w:r>
                        <w:rPr>
                          <w:sz w:val="18"/>
                          <w:szCs w:val="18"/>
                        </w:rPr>
                        <w:t>.  The visitor economy provides employment and up</w:t>
                      </w:r>
                      <w:r w:rsidRPr="008F44E1">
                        <w:rPr>
                          <w:sz w:val="18"/>
                          <w:szCs w:val="18"/>
                        </w:rPr>
                        <w:t>skilling opportunities, improves and protects the built and natural environments</w:t>
                      </w:r>
                      <w:r>
                        <w:rPr>
                          <w:sz w:val="18"/>
                          <w:szCs w:val="18"/>
                        </w:rPr>
                        <w:t xml:space="preserve"> and </w:t>
                      </w:r>
                      <w:r w:rsidRPr="008F44E1">
                        <w:rPr>
                          <w:sz w:val="18"/>
                          <w:szCs w:val="18"/>
                        </w:rPr>
                        <w:t>creates demand for high quality businesses and services</w:t>
                      </w:r>
                      <w:r>
                        <w:rPr>
                          <w:sz w:val="18"/>
                          <w:szCs w:val="18"/>
                        </w:rPr>
                        <w:t xml:space="preserve">. It contributes more than </w:t>
                      </w:r>
                      <w:r w:rsidRPr="009412E0">
                        <w:rPr>
                          <w:sz w:val="18"/>
                          <w:szCs w:val="18"/>
                        </w:rPr>
                        <w:t>£</w:t>
                      </w:r>
                      <w:r>
                        <w:rPr>
                          <w:sz w:val="18"/>
                          <w:szCs w:val="18"/>
                        </w:rPr>
                        <w:t>3bn</w:t>
                      </w:r>
                      <w:r w:rsidRPr="009412E0">
                        <w:rPr>
                          <w:sz w:val="18"/>
                          <w:szCs w:val="18"/>
                        </w:rPr>
                        <w:t xml:space="preserve"> </w:t>
                      </w:r>
                      <w:r>
                        <w:rPr>
                          <w:sz w:val="18"/>
                          <w:szCs w:val="18"/>
                        </w:rPr>
                        <w:t xml:space="preserve">a year to the county’s overall economy and supports more than 50,000 jobs, plus many more in the local supply chain. It is also growing: forecasts predict that nearly </w:t>
                      </w:r>
                      <w:r w:rsidRPr="008103DA">
                        <w:rPr>
                          <w:sz w:val="18"/>
                          <w:szCs w:val="18"/>
                        </w:rPr>
                        <w:t>4,000 more</w:t>
                      </w:r>
                      <w:r>
                        <w:rPr>
                          <w:sz w:val="18"/>
                          <w:szCs w:val="18"/>
                        </w:rPr>
                        <w:t xml:space="preserve"> full time equivalents will be required in the sector between 2014 and 2020.  </w:t>
                      </w:r>
                    </w:p>
                    <w:p w:rsidR="000A3998" w:rsidRPr="00C8217D" w:rsidRDefault="000A3998" w:rsidP="00570B2F">
                      <w:pPr>
                        <w:pStyle w:val="normalnumbered"/>
                        <w:tabs>
                          <w:tab w:val="clear" w:pos="2666"/>
                        </w:tabs>
                        <w:spacing w:line="264" w:lineRule="auto"/>
                        <w:ind w:left="0" w:right="40" w:firstLine="0"/>
                        <w:rPr>
                          <w:sz w:val="18"/>
                          <w:szCs w:val="18"/>
                        </w:rPr>
                      </w:pPr>
                      <w:r>
                        <w:rPr>
                          <w:sz w:val="18"/>
                          <w:szCs w:val="18"/>
                        </w:rPr>
                        <w:t xml:space="preserve">Nonetheless, recruitment challenges, high staff turnover and a range of skills issues are preventing it from achieving its potential.  The full breadth of jobs and careers in the sector is not accurately conveyed to young people, the rewards and opportunities it can offer are undersold and too often it is seen as a second best option or a stepping stone to a different career.   </w:t>
                      </w:r>
                    </w:p>
                    <w:p w:rsidR="000A3998" w:rsidRPr="00135D4B" w:rsidRDefault="000A3998" w:rsidP="00570B2F">
                      <w:pPr>
                        <w:pStyle w:val="normalnumbered"/>
                        <w:tabs>
                          <w:tab w:val="clear" w:pos="2666"/>
                        </w:tabs>
                        <w:spacing w:line="264" w:lineRule="auto"/>
                        <w:ind w:left="0" w:right="40" w:firstLine="0"/>
                        <w:rPr>
                          <w:sz w:val="18"/>
                          <w:szCs w:val="18"/>
                        </w:rPr>
                      </w:pPr>
                      <w:r w:rsidRPr="00135D4B">
                        <w:rPr>
                          <w:sz w:val="18"/>
                          <w:szCs w:val="18"/>
                        </w:rPr>
                        <w:t xml:space="preserve">The </w:t>
                      </w:r>
                      <w:r>
                        <w:rPr>
                          <w:sz w:val="18"/>
                          <w:szCs w:val="18"/>
                        </w:rPr>
                        <w:t xml:space="preserve">Lancashire LEP, Lancashire County Council and Marketing Lancashire </w:t>
                      </w:r>
                      <w:r w:rsidRPr="00135D4B">
                        <w:rPr>
                          <w:sz w:val="18"/>
                          <w:szCs w:val="18"/>
                        </w:rPr>
                        <w:t>ha</w:t>
                      </w:r>
                      <w:r>
                        <w:rPr>
                          <w:sz w:val="18"/>
                          <w:szCs w:val="18"/>
                        </w:rPr>
                        <w:t>ve</w:t>
                      </w:r>
                      <w:r w:rsidRPr="00135D4B">
                        <w:rPr>
                          <w:sz w:val="18"/>
                          <w:szCs w:val="18"/>
                        </w:rPr>
                        <w:t xml:space="preserve"> therefore produced this </w:t>
                      </w:r>
                      <w:r>
                        <w:rPr>
                          <w:sz w:val="18"/>
                          <w:szCs w:val="18"/>
                        </w:rPr>
                        <w:t xml:space="preserve">visitor economy skills plan in </w:t>
                      </w:r>
                      <w:r w:rsidRPr="00135D4B">
                        <w:rPr>
                          <w:sz w:val="18"/>
                          <w:szCs w:val="18"/>
                        </w:rPr>
                        <w:t xml:space="preserve">collaboration with employers, business organisations and the county’s network of </w:t>
                      </w:r>
                      <w:r>
                        <w:rPr>
                          <w:sz w:val="18"/>
                          <w:szCs w:val="18"/>
                        </w:rPr>
                        <w:t>skills</w:t>
                      </w:r>
                      <w:r w:rsidRPr="00135D4B">
                        <w:rPr>
                          <w:sz w:val="18"/>
                          <w:szCs w:val="18"/>
                        </w:rPr>
                        <w:t xml:space="preserve"> providers. It </w:t>
                      </w:r>
                      <w:r>
                        <w:rPr>
                          <w:sz w:val="18"/>
                          <w:szCs w:val="18"/>
                        </w:rPr>
                        <w:t>is</w:t>
                      </w:r>
                      <w:r w:rsidRPr="00135D4B">
                        <w:rPr>
                          <w:sz w:val="18"/>
                          <w:szCs w:val="18"/>
                        </w:rPr>
                        <w:t xml:space="preserve"> designed to </w:t>
                      </w:r>
                      <w:r>
                        <w:rPr>
                          <w:sz w:val="18"/>
                          <w:szCs w:val="18"/>
                        </w:rPr>
                        <w:t xml:space="preserve">help </w:t>
                      </w:r>
                      <w:r w:rsidRPr="00135D4B">
                        <w:rPr>
                          <w:sz w:val="18"/>
                          <w:szCs w:val="18"/>
                        </w:rPr>
                        <w:t xml:space="preserve">enable the provision of skills and learning </w:t>
                      </w:r>
                      <w:r>
                        <w:rPr>
                          <w:sz w:val="18"/>
                          <w:szCs w:val="18"/>
                        </w:rPr>
                        <w:t xml:space="preserve">to </w:t>
                      </w:r>
                      <w:r w:rsidRPr="00135D4B">
                        <w:rPr>
                          <w:sz w:val="18"/>
                          <w:szCs w:val="18"/>
                        </w:rPr>
                        <w:t>meet the needs of the county</w:t>
                      </w:r>
                      <w:r>
                        <w:rPr>
                          <w:sz w:val="18"/>
                          <w:szCs w:val="18"/>
                        </w:rPr>
                        <w:t xml:space="preserve">’s visitor economy and to support the delivery of Lancashire’s Visitor Economy Strategy, the Employment and Skills Strategic Framework and elements of Lancashire’s Strategic Economic Plan.  </w:t>
                      </w:r>
                      <w:r w:rsidRPr="00135D4B">
                        <w:rPr>
                          <w:sz w:val="18"/>
                          <w:szCs w:val="18"/>
                        </w:rPr>
                        <w:t xml:space="preserve">  </w:t>
                      </w:r>
                    </w:p>
                    <w:p w:rsidR="000A3998" w:rsidRPr="00CB5B08" w:rsidRDefault="000A3998" w:rsidP="00570B2F">
                      <w:pPr>
                        <w:pStyle w:val="normalnumbered"/>
                        <w:tabs>
                          <w:tab w:val="clear" w:pos="2666"/>
                        </w:tabs>
                        <w:spacing w:line="264" w:lineRule="auto"/>
                        <w:ind w:left="0" w:right="40" w:firstLine="0"/>
                        <w:rPr>
                          <w:sz w:val="18"/>
                          <w:szCs w:val="18"/>
                        </w:rPr>
                      </w:pPr>
                      <w:r w:rsidRPr="00D717D7">
                        <w:rPr>
                          <w:sz w:val="18"/>
                          <w:szCs w:val="18"/>
                        </w:rPr>
                        <w:t xml:space="preserve">The </w:t>
                      </w:r>
                      <w:r>
                        <w:rPr>
                          <w:sz w:val="18"/>
                          <w:szCs w:val="18"/>
                        </w:rPr>
                        <w:t>skills plan</w:t>
                      </w:r>
                      <w:r w:rsidRPr="00D717D7">
                        <w:rPr>
                          <w:sz w:val="18"/>
                          <w:szCs w:val="18"/>
                        </w:rPr>
                        <w:t xml:space="preserve"> is an operational document. It proposes a series of actions, each </w:t>
                      </w:r>
                      <w:r>
                        <w:rPr>
                          <w:sz w:val="18"/>
                          <w:szCs w:val="18"/>
                        </w:rPr>
                        <w:t xml:space="preserve">of </w:t>
                      </w:r>
                      <w:r w:rsidRPr="00D717D7">
                        <w:rPr>
                          <w:sz w:val="18"/>
                          <w:szCs w:val="18"/>
                        </w:rPr>
                        <w:t xml:space="preserve">which has been assigned a lead organisation </w:t>
                      </w:r>
                      <w:r>
                        <w:rPr>
                          <w:sz w:val="18"/>
                          <w:szCs w:val="18"/>
                        </w:rPr>
                        <w:t xml:space="preserve">with </w:t>
                      </w:r>
                      <w:r w:rsidRPr="00D717D7">
                        <w:rPr>
                          <w:sz w:val="18"/>
                          <w:szCs w:val="18"/>
                        </w:rPr>
                        <w:t xml:space="preserve">responsibility for </w:t>
                      </w:r>
                      <w:r>
                        <w:rPr>
                          <w:sz w:val="18"/>
                          <w:szCs w:val="18"/>
                        </w:rPr>
                        <w:t xml:space="preserve">its </w:t>
                      </w:r>
                      <w:r w:rsidRPr="00D717D7">
                        <w:rPr>
                          <w:sz w:val="18"/>
                          <w:szCs w:val="18"/>
                        </w:rPr>
                        <w:t xml:space="preserve">implementation. </w:t>
                      </w:r>
                      <w:r>
                        <w:rPr>
                          <w:sz w:val="18"/>
                          <w:szCs w:val="18"/>
                        </w:rPr>
                        <w:t xml:space="preserve"> The plan </w:t>
                      </w:r>
                      <w:r w:rsidRPr="00CB5B08">
                        <w:rPr>
                          <w:sz w:val="18"/>
                          <w:szCs w:val="18"/>
                        </w:rPr>
                        <w:t xml:space="preserve">will be a live document that </w:t>
                      </w:r>
                      <w:r>
                        <w:rPr>
                          <w:sz w:val="18"/>
                          <w:szCs w:val="18"/>
                        </w:rPr>
                        <w:t xml:space="preserve">is </w:t>
                      </w:r>
                      <w:r w:rsidRPr="00CB5B08">
                        <w:rPr>
                          <w:sz w:val="18"/>
                          <w:szCs w:val="18"/>
                        </w:rPr>
                        <w:t xml:space="preserve">reviewed and updated to ensure that the efforts of those involved in delivering </w:t>
                      </w:r>
                      <w:r>
                        <w:rPr>
                          <w:sz w:val="18"/>
                          <w:szCs w:val="18"/>
                        </w:rPr>
                        <w:t>it</w:t>
                      </w:r>
                      <w:r w:rsidRPr="00CB5B08">
                        <w:rPr>
                          <w:sz w:val="18"/>
                          <w:szCs w:val="18"/>
                        </w:rPr>
                        <w:t xml:space="preserve"> are channelled into activities where there is the greatest need for intervention</w:t>
                      </w:r>
                      <w:r>
                        <w:rPr>
                          <w:sz w:val="18"/>
                          <w:szCs w:val="18"/>
                        </w:rPr>
                        <w:t xml:space="preserve">. </w:t>
                      </w:r>
                      <w:r w:rsidRPr="00CB5B08">
                        <w:rPr>
                          <w:sz w:val="18"/>
                          <w:szCs w:val="18"/>
                        </w:rPr>
                        <w:t xml:space="preserve"> </w:t>
                      </w:r>
                      <w:r>
                        <w:rPr>
                          <w:sz w:val="18"/>
                          <w:szCs w:val="18"/>
                        </w:rPr>
                        <w:t xml:space="preserve"> </w:t>
                      </w:r>
                      <w:r w:rsidRPr="00CB5B08">
                        <w:rPr>
                          <w:sz w:val="18"/>
                          <w:szCs w:val="18"/>
                        </w:rPr>
                        <w:t xml:space="preserve"> </w:t>
                      </w:r>
                    </w:p>
                    <w:p w:rsidR="000A3998" w:rsidRPr="005968F0" w:rsidRDefault="000A3998" w:rsidP="00570B2F">
                      <w:pPr>
                        <w:pStyle w:val="normalnumbered"/>
                        <w:tabs>
                          <w:tab w:val="clear" w:pos="2666"/>
                        </w:tabs>
                        <w:spacing w:line="264" w:lineRule="auto"/>
                        <w:ind w:left="0" w:right="40" w:firstLine="0"/>
                        <w:rPr>
                          <w:sz w:val="18"/>
                          <w:szCs w:val="18"/>
                        </w:rPr>
                      </w:pPr>
                      <w:r>
                        <w:rPr>
                          <w:sz w:val="18"/>
                          <w:szCs w:val="18"/>
                        </w:rPr>
                        <w:t>The plan recognises that there is already forward momentum. The Blackpool Tourism Academy, take-up of high quality customer service training and capital investments in Further Education are just some of the developments that are in progress. The plan does not duplicate this good work, but rather seeks to introduce complementary activity that can help accelerate the pace of change.</w:t>
                      </w:r>
                      <w:r w:rsidRPr="00523BF3">
                        <w:t xml:space="preserve"> </w:t>
                      </w:r>
                    </w:p>
                    <w:p w:rsidR="000A3998" w:rsidRPr="005968F0" w:rsidRDefault="000A3998" w:rsidP="005968F0">
                      <w:pPr>
                        <w:pStyle w:val="normalnumbered"/>
                        <w:tabs>
                          <w:tab w:val="clear" w:pos="2666"/>
                        </w:tabs>
                        <w:spacing w:line="264" w:lineRule="auto"/>
                        <w:ind w:left="0" w:right="40" w:firstLine="0"/>
                        <w:rPr>
                          <w:sz w:val="18"/>
                          <w:szCs w:val="18"/>
                        </w:rPr>
                      </w:pPr>
                      <w:r>
                        <w:rPr>
                          <w:sz w:val="18"/>
                          <w:szCs w:val="18"/>
                        </w:rPr>
                        <w:t>.</w:t>
                      </w:r>
                      <w:r w:rsidRPr="00523BF3">
                        <w:t xml:space="preserve"> </w:t>
                      </w:r>
                    </w:p>
                    <w:p w:rsidR="000A3998" w:rsidRPr="00523BF3" w:rsidRDefault="000A3998" w:rsidP="00F95072">
                      <w:pPr>
                        <w:pStyle w:val="normalnumbered"/>
                        <w:tabs>
                          <w:tab w:val="clear" w:pos="2666"/>
                        </w:tabs>
                        <w:spacing w:line="288" w:lineRule="auto"/>
                        <w:ind w:left="0" w:right="-31" w:firstLine="0"/>
                      </w:pPr>
                      <w:r w:rsidRPr="00523BF3">
                        <w:t xml:space="preserve">  </w:t>
                      </w:r>
                    </w:p>
                  </w:txbxContent>
                </v:textbox>
              </v:shape>
            </w:pict>
          </mc:Fallback>
        </mc:AlternateContent>
      </w: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F95072" w:rsidRDefault="00F95072" w:rsidP="009F133E">
      <w:pPr>
        <w:spacing w:before="120" w:after="120" w:line="264" w:lineRule="auto"/>
        <w:jc w:val="center"/>
        <w:rPr>
          <w:rFonts w:ascii="Arial" w:hAnsi="Arial" w:cs="Arial"/>
          <w:b/>
          <w:color w:val="660066"/>
          <w:sz w:val="22"/>
          <w:szCs w:val="22"/>
          <w:lang w:eastAsia="en-GB"/>
        </w:rPr>
      </w:pPr>
    </w:p>
    <w:p w:rsidR="00334215" w:rsidRDefault="00D418C3" w:rsidP="000472FE">
      <w:pPr>
        <w:spacing w:before="120" w:after="120" w:line="264" w:lineRule="auto"/>
        <w:jc w:val="both"/>
        <w:rPr>
          <w:rFonts w:ascii="Arial" w:hAnsi="Arial" w:cs="Arial"/>
          <w:b/>
          <w:color w:val="660066"/>
          <w:sz w:val="22"/>
          <w:szCs w:val="22"/>
          <w:lang w:eastAsia="en-GB"/>
        </w:rPr>
      </w:pPr>
      <w:r>
        <w:rPr>
          <w:rFonts w:cs="Arial"/>
          <w:b/>
          <w:noProof/>
          <w:color w:val="660066"/>
          <w:sz w:val="22"/>
          <w:szCs w:val="22"/>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-33655</wp:posOffset>
                </wp:positionV>
                <wp:extent cx="4304665" cy="4530725"/>
                <wp:effectExtent l="63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530725"/>
                        </a:xfrm>
                        <a:prstGeom prst="rect">
                          <a:avLst/>
                        </a:prstGeom>
                        <a:solidFill>
                          <a:schemeClr val="accent4">
                            <a:lumMod val="20000"/>
                            <a:lumOff val="80000"/>
                          </a:schemeClr>
                        </a:solidFill>
                        <a:ln>
                          <a:noFill/>
                        </a:ln>
                        <a:effectLst/>
                        <a:extLst>
                          <a:ext uri="{91240B29-F687-4F45-9708-019B960494DF}">
                            <a14:hiddenLine xmlns:a14="http://schemas.microsoft.com/office/drawing/2010/main" w="12700">
                              <a:solidFill>
                                <a:schemeClr val="accent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rsidR="000A3998" w:rsidRPr="00F95072" w:rsidRDefault="000A3998" w:rsidP="00334215">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 xml:space="preserve">Defining the Visitor Economy </w:t>
                            </w:r>
                            <w:r w:rsidRPr="00523BF3">
                              <w:rPr>
                                <w:b/>
                                <w:sz w:val="28"/>
                                <w:szCs w:val="28"/>
                              </w:rPr>
                              <w:t xml:space="preserve"> </w:t>
                            </w:r>
                          </w:p>
                          <w:p w:rsidR="000A3998" w:rsidRPr="00356623" w:rsidRDefault="000A3998" w:rsidP="00570B2F">
                            <w:pPr>
                              <w:pStyle w:val="normalnumbered"/>
                              <w:tabs>
                                <w:tab w:val="clear" w:pos="2666"/>
                              </w:tabs>
                              <w:spacing w:line="264" w:lineRule="auto"/>
                              <w:ind w:left="0" w:right="40" w:firstLine="0"/>
                              <w:rPr>
                                <w:sz w:val="18"/>
                                <w:szCs w:val="18"/>
                              </w:rPr>
                            </w:pPr>
                            <w:r>
                              <w:rPr>
                                <w:sz w:val="18"/>
                                <w:szCs w:val="18"/>
                              </w:rPr>
                              <w:t xml:space="preserve">The definition of the visitor economy used in this plan is based on the </w:t>
                            </w:r>
                            <w:r w:rsidRPr="002E3E16">
                              <w:rPr>
                                <w:sz w:val="18"/>
                                <w:szCs w:val="18"/>
                              </w:rPr>
                              <w:t xml:space="preserve">Standard Industrial Classification (SIC) codes listed </w:t>
                            </w:r>
                            <w:r w:rsidRPr="000115C9">
                              <w:rPr>
                                <w:sz w:val="18"/>
                                <w:szCs w:val="18"/>
                              </w:rPr>
                              <w:t>at Appendix A</w:t>
                            </w:r>
                            <w:r w:rsidRPr="002E3E16">
                              <w:rPr>
                                <w:sz w:val="18"/>
                                <w:szCs w:val="18"/>
                              </w:rPr>
                              <w:t xml:space="preserve">. </w:t>
                            </w:r>
                            <w:r>
                              <w:rPr>
                                <w:sz w:val="18"/>
                                <w:szCs w:val="18"/>
                              </w:rPr>
                              <w:t xml:space="preserve"> </w:t>
                            </w:r>
                            <w:r w:rsidRPr="002E3E16">
                              <w:rPr>
                                <w:sz w:val="18"/>
                                <w:szCs w:val="18"/>
                              </w:rPr>
                              <w:t xml:space="preserve">This definition covers the core components of the tourism system that are required to support a successful visitor economy and includes the main types of businesses with whom visitors will spend money while at a destination (e.g. accommodation, food and drink services, a range of art, entertainment, cultural and sport attractions and conventions and trade shows). </w:t>
                            </w:r>
                            <w:r>
                              <w:rPr>
                                <w:sz w:val="18"/>
                                <w:szCs w:val="18"/>
                              </w:rPr>
                              <w:t xml:space="preserve"> </w:t>
                            </w:r>
                            <w:r w:rsidRPr="002E3E16">
                              <w:rPr>
                                <w:sz w:val="18"/>
                                <w:szCs w:val="18"/>
                              </w:rPr>
                              <w:t xml:space="preserve">It also includes a limited range of transport activities (taxis, transport hire and water transport) which are often supported by leisure </w:t>
                            </w:r>
                            <w:r>
                              <w:rPr>
                                <w:sz w:val="18"/>
                                <w:szCs w:val="18"/>
                              </w:rPr>
                              <w:t xml:space="preserve">spend in visitor destinations.   </w:t>
                            </w:r>
                          </w:p>
                          <w:p w:rsidR="000A3998" w:rsidRPr="00F95072" w:rsidRDefault="000A3998" w:rsidP="00570B2F">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 xml:space="preserve">Acknowledgements </w:t>
                            </w:r>
                            <w:r w:rsidRPr="00523BF3">
                              <w:rPr>
                                <w:b/>
                                <w:sz w:val="28"/>
                                <w:szCs w:val="28"/>
                              </w:rPr>
                              <w:t xml:space="preserve"> </w:t>
                            </w:r>
                          </w:p>
                          <w:p w:rsidR="000A3998" w:rsidRDefault="000A3998" w:rsidP="00570B2F">
                            <w:pPr>
                              <w:pStyle w:val="normalnumbered"/>
                              <w:tabs>
                                <w:tab w:val="clear" w:pos="2666"/>
                              </w:tabs>
                              <w:spacing w:line="264" w:lineRule="auto"/>
                              <w:ind w:left="0" w:right="40" w:firstLine="0"/>
                              <w:rPr>
                                <w:sz w:val="18"/>
                                <w:szCs w:val="18"/>
                              </w:rPr>
                            </w:pPr>
                            <w:r w:rsidRPr="000E48AE">
                              <w:rPr>
                                <w:sz w:val="18"/>
                                <w:szCs w:val="18"/>
                              </w:rPr>
                              <w:t xml:space="preserve">The </w:t>
                            </w:r>
                            <w:r>
                              <w:rPr>
                                <w:sz w:val="18"/>
                                <w:szCs w:val="18"/>
                              </w:rPr>
                              <w:t xml:space="preserve">Lancashire LEP, Lancashire County Council and Marketing Lancashire would like to </w:t>
                            </w:r>
                            <w:r w:rsidRPr="000E48AE">
                              <w:rPr>
                                <w:sz w:val="18"/>
                                <w:szCs w:val="18"/>
                              </w:rPr>
                              <w:t xml:space="preserve">express their thanks to everyone that has </w:t>
                            </w:r>
                            <w:r>
                              <w:rPr>
                                <w:sz w:val="18"/>
                                <w:szCs w:val="18"/>
                              </w:rPr>
                              <w:t xml:space="preserve">contributed to the development of this plan.  The willingness of visitor economy employers, in particular, to make time available for consultations and to participate in surveys has been very much appreciated. </w:t>
                            </w:r>
                          </w:p>
                          <w:p w:rsidR="000A3998" w:rsidRPr="00F95072" w:rsidRDefault="000A3998" w:rsidP="00570B2F">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 xml:space="preserve">Consultation and Development </w:t>
                            </w:r>
                            <w:r w:rsidRPr="00523BF3">
                              <w:rPr>
                                <w:b/>
                                <w:sz w:val="28"/>
                                <w:szCs w:val="28"/>
                              </w:rPr>
                              <w:t xml:space="preserve"> </w:t>
                            </w:r>
                          </w:p>
                          <w:p w:rsidR="000A3998" w:rsidRDefault="000A3998" w:rsidP="00570B2F">
                            <w:pPr>
                              <w:pStyle w:val="normalnumbered"/>
                              <w:tabs>
                                <w:tab w:val="clear" w:pos="2666"/>
                              </w:tabs>
                              <w:spacing w:line="264" w:lineRule="auto"/>
                              <w:ind w:left="0" w:right="40" w:firstLine="0"/>
                              <w:rPr>
                                <w:sz w:val="18"/>
                                <w:szCs w:val="18"/>
                              </w:rPr>
                            </w:pPr>
                            <w:r>
                              <w:rPr>
                                <w:sz w:val="18"/>
                                <w:szCs w:val="18"/>
                              </w:rPr>
                              <w:t xml:space="preserve">This plan was developed between April and July 2015. It has been underpinned by input from </w:t>
                            </w:r>
                            <w:r w:rsidRPr="008103DA">
                              <w:rPr>
                                <w:sz w:val="18"/>
                                <w:szCs w:val="18"/>
                              </w:rPr>
                              <w:t>73 employers</w:t>
                            </w:r>
                            <w:r>
                              <w:rPr>
                                <w:sz w:val="18"/>
                                <w:szCs w:val="18"/>
                              </w:rPr>
                              <w:t xml:space="preserve"> from across Lancashire who have contributed via a combination of one-to-one interviews, focus groups and web based surveys. </w:t>
                            </w:r>
                          </w:p>
                          <w:p w:rsidR="000A3998" w:rsidRPr="00C8217D" w:rsidRDefault="000A3998" w:rsidP="00570B2F">
                            <w:pPr>
                              <w:pStyle w:val="normalnumbered"/>
                              <w:tabs>
                                <w:tab w:val="clear" w:pos="2666"/>
                              </w:tabs>
                              <w:spacing w:line="264" w:lineRule="auto"/>
                              <w:ind w:left="0" w:right="40" w:firstLine="0"/>
                              <w:rPr>
                                <w:sz w:val="18"/>
                                <w:szCs w:val="18"/>
                              </w:rPr>
                            </w:pPr>
                            <w:r>
                              <w:rPr>
                                <w:sz w:val="18"/>
                                <w:szCs w:val="18"/>
                              </w:rPr>
                              <w:t xml:space="preserve">Tutors and course leaders of provision relevant to the visitor economy in FE colleges, training providers and higher education institutions have also been consulted, as have other stakeholders with strategic and operational roles relevant to the visitor economy.     </w:t>
                            </w:r>
                          </w:p>
                          <w:p w:rsidR="000A3998" w:rsidRPr="00C8217D" w:rsidRDefault="000A3998" w:rsidP="000E48AE">
                            <w:pPr>
                              <w:pStyle w:val="normalnumbered"/>
                              <w:tabs>
                                <w:tab w:val="clear" w:pos="2666"/>
                              </w:tabs>
                              <w:spacing w:line="264" w:lineRule="auto"/>
                              <w:ind w:left="0" w:right="40" w:firstLine="0"/>
                              <w:rPr>
                                <w:sz w:val="18"/>
                                <w:szCs w:val="18"/>
                              </w:rPr>
                            </w:pPr>
                          </w:p>
                          <w:p w:rsidR="000A3998" w:rsidRPr="00523BF3" w:rsidRDefault="000A3998" w:rsidP="00334215">
                            <w:pPr>
                              <w:pStyle w:val="normalnumbered"/>
                              <w:tabs>
                                <w:tab w:val="clear" w:pos="2666"/>
                              </w:tabs>
                              <w:spacing w:line="288" w:lineRule="auto"/>
                              <w:ind w:left="0" w:right="-31"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8.3pt;margin-top:-2.65pt;width:338.95pt;height:3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" fillcolor="#e5dfec [663]" stroked="f" strokecolor="#4f81bd [3204]" strokeweight="1pt">
                <v:shadow color="#243f60 [1604]" offset="1pt"/>
                <v:textbox>
                  <w:txbxContent>
                    <w:p w:rsidR="000A3998" w:rsidRPr="00F95072" w:rsidRDefault="000A3998" w:rsidP="00334215">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 xml:space="preserve">Defining the Visitor Economy </w:t>
                      </w:r>
                      <w:r w:rsidRPr="00523BF3">
                        <w:rPr>
                          <w:b/>
                          <w:sz w:val="28"/>
                          <w:szCs w:val="28"/>
                        </w:rPr>
                        <w:t xml:space="preserve"> </w:t>
                      </w:r>
                    </w:p>
                    <w:p w:rsidR="000A3998" w:rsidRPr="00356623" w:rsidRDefault="000A3998" w:rsidP="00570B2F">
                      <w:pPr>
                        <w:pStyle w:val="normalnumbered"/>
                        <w:tabs>
                          <w:tab w:val="clear" w:pos="2666"/>
                        </w:tabs>
                        <w:spacing w:line="264" w:lineRule="auto"/>
                        <w:ind w:left="0" w:right="40" w:firstLine="0"/>
                        <w:rPr>
                          <w:sz w:val="18"/>
                          <w:szCs w:val="18"/>
                        </w:rPr>
                      </w:pPr>
                      <w:r>
                        <w:rPr>
                          <w:sz w:val="18"/>
                          <w:szCs w:val="18"/>
                        </w:rPr>
                        <w:t xml:space="preserve">The definition of the visitor economy used in this plan is based on the </w:t>
                      </w:r>
                      <w:r w:rsidRPr="002E3E16">
                        <w:rPr>
                          <w:sz w:val="18"/>
                          <w:szCs w:val="18"/>
                        </w:rPr>
                        <w:t xml:space="preserve">Standard Industrial Classification (SIC) codes listed </w:t>
                      </w:r>
                      <w:r w:rsidRPr="000115C9">
                        <w:rPr>
                          <w:sz w:val="18"/>
                          <w:szCs w:val="18"/>
                        </w:rPr>
                        <w:t>at Appendix A</w:t>
                      </w:r>
                      <w:r w:rsidRPr="002E3E16">
                        <w:rPr>
                          <w:sz w:val="18"/>
                          <w:szCs w:val="18"/>
                        </w:rPr>
                        <w:t xml:space="preserve">. </w:t>
                      </w:r>
                      <w:r>
                        <w:rPr>
                          <w:sz w:val="18"/>
                          <w:szCs w:val="18"/>
                        </w:rPr>
                        <w:t xml:space="preserve"> </w:t>
                      </w:r>
                      <w:r w:rsidRPr="002E3E16">
                        <w:rPr>
                          <w:sz w:val="18"/>
                          <w:szCs w:val="18"/>
                        </w:rPr>
                        <w:t xml:space="preserve">This definition covers the core components of the tourism system that are required to support a successful visitor economy and includes the main types of businesses with whom visitors will spend money while at a destination (e.g. accommodation, food and drink services, a range of art, entertainment, cultural and sport attractions and conventions and trade shows). </w:t>
                      </w:r>
                      <w:r>
                        <w:rPr>
                          <w:sz w:val="18"/>
                          <w:szCs w:val="18"/>
                        </w:rPr>
                        <w:t xml:space="preserve"> </w:t>
                      </w:r>
                      <w:r w:rsidRPr="002E3E16">
                        <w:rPr>
                          <w:sz w:val="18"/>
                          <w:szCs w:val="18"/>
                        </w:rPr>
                        <w:t xml:space="preserve">It also includes a limited range of transport activities (taxis, transport hire and water transport) which are often supported by leisure </w:t>
                      </w:r>
                      <w:r>
                        <w:rPr>
                          <w:sz w:val="18"/>
                          <w:szCs w:val="18"/>
                        </w:rPr>
                        <w:t xml:space="preserve">spend in visitor destinations.   </w:t>
                      </w:r>
                    </w:p>
                    <w:p w:rsidR="000A3998" w:rsidRPr="00F95072" w:rsidRDefault="000A3998" w:rsidP="00570B2F">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 xml:space="preserve">Acknowledgements </w:t>
                      </w:r>
                      <w:r w:rsidRPr="00523BF3">
                        <w:rPr>
                          <w:b/>
                          <w:sz w:val="28"/>
                          <w:szCs w:val="28"/>
                        </w:rPr>
                        <w:t xml:space="preserve"> </w:t>
                      </w:r>
                    </w:p>
                    <w:p w:rsidR="000A3998" w:rsidRDefault="000A3998" w:rsidP="00570B2F">
                      <w:pPr>
                        <w:pStyle w:val="normalnumbered"/>
                        <w:tabs>
                          <w:tab w:val="clear" w:pos="2666"/>
                        </w:tabs>
                        <w:spacing w:line="264" w:lineRule="auto"/>
                        <w:ind w:left="0" w:right="40" w:firstLine="0"/>
                        <w:rPr>
                          <w:sz w:val="18"/>
                          <w:szCs w:val="18"/>
                        </w:rPr>
                      </w:pPr>
                      <w:r w:rsidRPr="000E48AE">
                        <w:rPr>
                          <w:sz w:val="18"/>
                          <w:szCs w:val="18"/>
                        </w:rPr>
                        <w:t xml:space="preserve">The </w:t>
                      </w:r>
                      <w:r>
                        <w:rPr>
                          <w:sz w:val="18"/>
                          <w:szCs w:val="18"/>
                        </w:rPr>
                        <w:t xml:space="preserve">Lancashire LEP, Lancashire County Council and Marketing Lancashire would like to </w:t>
                      </w:r>
                      <w:r w:rsidRPr="000E48AE">
                        <w:rPr>
                          <w:sz w:val="18"/>
                          <w:szCs w:val="18"/>
                        </w:rPr>
                        <w:t xml:space="preserve">express their thanks to everyone that has </w:t>
                      </w:r>
                      <w:r>
                        <w:rPr>
                          <w:sz w:val="18"/>
                          <w:szCs w:val="18"/>
                        </w:rPr>
                        <w:t xml:space="preserve">contributed to the development of this plan.  The willingness of visitor economy employers, in particular, to make time available for consultations and to participate in surveys has been very much appreciated. </w:t>
                      </w:r>
                    </w:p>
                    <w:p w:rsidR="000A3998" w:rsidRPr="00F95072" w:rsidRDefault="000A3998" w:rsidP="00570B2F">
                      <w:pPr>
                        <w:spacing w:before="120" w:after="120" w:line="264" w:lineRule="auto"/>
                        <w:jc w:val="center"/>
                        <w:rPr>
                          <w:rFonts w:ascii="Arial" w:hAnsi="Arial" w:cs="Arial"/>
                          <w:b/>
                          <w:color w:val="660066"/>
                          <w:sz w:val="22"/>
                          <w:szCs w:val="22"/>
                          <w:lang w:eastAsia="en-GB"/>
                        </w:rPr>
                      </w:pPr>
                      <w:r>
                        <w:rPr>
                          <w:rFonts w:ascii="Arial" w:hAnsi="Arial" w:cs="Arial"/>
                          <w:b/>
                          <w:color w:val="660066"/>
                          <w:sz w:val="22"/>
                          <w:szCs w:val="22"/>
                          <w:lang w:eastAsia="en-GB"/>
                        </w:rPr>
                        <w:t xml:space="preserve">Consultation and Development </w:t>
                      </w:r>
                      <w:r w:rsidRPr="00523BF3">
                        <w:rPr>
                          <w:b/>
                          <w:sz w:val="28"/>
                          <w:szCs w:val="28"/>
                        </w:rPr>
                        <w:t xml:space="preserve"> </w:t>
                      </w:r>
                    </w:p>
                    <w:p w:rsidR="000A3998" w:rsidRDefault="000A3998" w:rsidP="00570B2F">
                      <w:pPr>
                        <w:pStyle w:val="normalnumbered"/>
                        <w:tabs>
                          <w:tab w:val="clear" w:pos="2666"/>
                        </w:tabs>
                        <w:spacing w:line="264" w:lineRule="auto"/>
                        <w:ind w:left="0" w:right="40" w:firstLine="0"/>
                        <w:rPr>
                          <w:sz w:val="18"/>
                          <w:szCs w:val="18"/>
                        </w:rPr>
                      </w:pPr>
                      <w:r>
                        <w:rPr>
                          <w:sz w:val="18"/>
                          <w:szCs w:val="18"/>
                        </w:rPr>
                        <w:t xml:space="preserve">This plan was developed between April and July 2015. It has been underpinned by input from </w:t>
                      </w:r>
                      <w:r w:rsidRPr="008103DA">
                        <w:rPr>
                          <w:sz w:val="18"/>
                          <w:szCs w:val="18"/>
                        </w:rPr>
                        <w:t>73 employers</w:t>
                      </w:r>
                      <w:r>
                        <w:rPr>
                          <w:sz w:val="18"/>
                          <w:szCs w:val="18"/>
                        </w:rPr>
                        <w:t xml:space="preserve"> from across Lancashire who have contributed via a combination of one-to-one interviews, focus groups and web based surveys. </w:t>
                      </w:r>
                    </w:p>
                    <w:p w:rsidR="000A3998" w:rsidRPr="00C8217D" w:rsidRDefault="000A3998" w:rsidP="00570B2F">
                      <w:pPr>
                        <w:pStyle w:val="normalnumbered"/>
                        <w:tabs>
                          <w:tab w:val="clear" w:pos="2666"/>
                        </w:tabs>
                        <w:spacing w:line="264" w:lineRule="auto"/>
                        <w:ind w:left="0" w:right="40" w:firstLine="0"/>
                        <w:rPr>
                          <w:sz w:val="18"/>
                          <w:szCs w:val="18"/>
                        </w:rPr>
                      </w:pPr>
                      <w:r>
                        <w:rPr>
                          <w:sz w:val="18"/>
                          <w:szCs w:val="18"/>
                        </w:rPr>
                        <w:t xml:space="preserve">Tutors and course leaders of provision relevant to the visitor economy in FE colleges, training providers and higher education institutions have also been consulted, as have other stakeholders with strategic and operational roles relevant to the visitor economy.     </w:t>
                      </w:r>
                    </w:p>
                    <w:p w:rsidR="000A3998" w:rsidRPr="00C8217D" w:rsidRDefault="000A3998" w:rsidP="000E48AE">
                      <w:pPr>
                        <w:pStyle w:val="normalnumbered"/>
                        <w:tabs>
                          <w:tab w:val="clear" w:pos="2666"/>
                        </w:tabs>
                        <w:spacing w:line="264" w:lineRule="auto"/>
                        <w:ind w:left="0" w:right="40" w:firstLine="0"/>
                        <w:rPr>
                          <w:sz w:val="18"/>
                          <w:szCs w:val="18"/>
                        </w:rPr>
                      </w:pPr>
                    </w:p>
                    <w:p w:rsidR="000A3998" w:rsidRPr="00523BF3" w:rsidRDefault="000A3998" w:rsidP="00334215">
                      <w:pPr>
                        <w:pStyle w:val="normalnumbered"/>
                        <w:tabs>
                          <w:tab w:val="clear" w:pos="2666"/>
                        </w:tabs>
                        <w:spacing w:line="288" w:lineRule="auto"/>
                        <w:ind w:left="0" w:right="-31" w:firstLine="0"/>
                      </w:pPr>
                    </w:p>
                  </w:txbxContent>
                </v:textbox>
              </v:shape>
            </w:pict>
          </mc:Fallback>
        </mc:AlternateContent>
      </w: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334215">
      <w:pPr>
        <w:pStyle w:val="normalnumbered"/>
        <w:tabs>
          <w:tab w:val="clear" w:pos="2666"/>
        </w:tabs>
        <w:spacing w:line="264" w:lineRule="auto"/>
        <w:ind w:left="0" w:right="40" w:firstLine="0"/>
        <w:rPr>
          <w:rFonts w:cs="Arial"/>
          <w:b/>
          <w:color w:val="660066"/>
          <w:sz w:val="22"/>
          <w:szCs w:val="22"/>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334215" w:rsidRDefault="00334215" w:rsidP="000472FE">
      <w:pPr>
        <w:spacing w:before="120" w:after="120" w:line="264" w:lineRule="auto"/>
        <w:jc w:val="both"/>
        <w:rPr>
          <w:rFonts w:ascii="Arial" w:hAnsi="Arial" w:cs="Arial"/>
          <w:b/>
          <w:color w:val="660066"/>
          <w:sz w:val="22"/>
          <w:szCs w:val="22"/>
          <w:lang w:eastAsia="en-GB"/>
        </w:rPr>
      </w:pPr>
    </w:p>
    <w:p w:rsidR="00971925" w:rsidRPr="006E154A" w:rsidRDefault="00774373" w:rsidP="00BC2CD4">
      <w:pPr>
        <w:pStyle w:val="ListParagraph"/>
        <w:keepNext/>
        <w:pageBreakBefore/>
        <w:numPr>
          <w:ilvl w:val="0"/>
          <w:numId w:val="1"/>
        </w:numPr>
        <w:tabs>
          <w:tab w:val="clear" w:pos="1112"/>
          <w:tab w:val="num" w:pos="567"/>
        </w:tabs>
        <w:spacing w:before="240" w:after="240" w:line="360" w:lineRule="auto"/>
        <w:ind w:left="567" w:hanging="567"/>
        <w:jc w:val="both"/>
        <w:outlineLvl w:val="0"/>
        <w:rPr>
          <w:rFonts w:ascii="Arial" w:hAnsi="Arial" w:cs="Arial"/>
          <w:b/>
          <w:bCs/>
          <w:color w:val="6C2768"/>
          <w:kern w:val="32"/>
          <w:sz w:val="28"/>
          <w:szCs w:val="32"/>
          <w:lang w:eastAsia="en-GB"/>
        </w:rPr>
      </w:pPr>
      <w:bookmarkStart w:id="1" w:name="_Toc424128464"/>
      <w:r>
        <w:rPr>
          <w:rFonts w:ascii="Arial" w:hAnsi="Arial" w:cs="Arial"/>
          <w:b/>
          <w:bCs/>
          <w:color w:val="6C2768"/>
          <w:kern w:val="32"/>
          <w:sz w:val="28"/>
          <w:szCs w:val="32"/>
          <w:lang w:eastAsia="en-GB"/>
        </w:rPr>
        <w:lastRenderedPageBreak/>
        <w:t>T</w:t>
      </w:r>
      <w:r w:rsidR="005F670A">
        <w:rPr>
          <w:rFonts w:ascii="Arial" w:hAnsi="Arial" w:cs="Arial"/>
          <w:b/>
          <w:bCs/>
          <w:color w:val="6C2768"/>
          <w:kern w:val="32"/>
          <w:sz w:val="28"/>
          <w:szCs w:val="32"/>
          <w:lang w:eastAsia="en-GB"/>
        </w:rPr>
        <w:t>he National Visitor Economy</w:t>
      </w:r>
      <w:bookmarkEnd w:id="1"/>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1DD" w:themeFill="accent3" w:themeFillTint="33"/>
        <w:tblLook w:val="04A0" w:firstRow="1" w:lastRow="0" w:firstColumn="1" w:lastColumn="0" w:noHBand="0" w:noVBand="1"/>
      </w:tblPr>
      <w:tblGrid>
        <w:gridCol w:w="6663"/>
      </w:tblGrid>
      <w:tr w:rsidR="00FF6631" w:rsidRPr="00971220" w:rsidTr="00FF6631">
        <w:tc>
          <w:tcPr>
            <w:tcW w:w="6663" w:type="dxa"/>
            <w:shd w:val="clear" w:color="auto" w:fill="EAF1DD" w:themeFill="accent3" w:themeFillTint="33"/>
          </w:tcPr>
          <w:p w:rsidR="00FF6631" w:rsidRPr="00BA477C" w:rsidRDefault="00BA477C" w:rsidP="00BA477C">
            <w:pPr>
              <w:pStyle w:val="normalnumbered"/>
              <w:tabs>
                <w:tab w:val="clear" w:pos="2666"/>
              </w:tabs>
              <w:spacing w:after="120" w:line="264" w:lineRule="auto"/>
              <w:ind w:right="176"/>
              <w:rPr>
                <w:b/>
                <w:color w:val="6C2768"/>
                <w:sz w:val="18"/>
                <w:szCs w:val="18"/>
              </w:rPr>
            </w:pPr>
            <w:r w:rsidRPr="00BA477C">
              <w:rPr>
                <w:b/>
                <w:color w:val="6C2768"/>
                <w:sz w:val="18"/>
                <w:szCs w:val="18"/>
              </w:rPr>
              <w:t>Summary of Key Points</w:t>
            </w:r>
          </w:p>
          <w:p w:rsidR="00BA477C" w:rsidRDefault="00BA477C" w:rsidP="00BA477C">
            <w:pPr>
              <w:pStyle w:val="normalnumbered"/>
              <w:numPr>
                <w:ilvl w:val="0"/>
                <w:numId w:val="24"/>
              </w:numPr>
              <w:spacing w:after="120" w:line="264" w:lineRule="auto"/>
              <w:ind w:right="176"/>
              <w:rPr>
                <w:sz w:val="18"/>
                <w:szCs w:val="18"/>
              </w:rPr>
            </w:pPr>
            <w:r>
              <w:rPr>
                <w:sz w:val="18"/>
                <w:szCs w:val="18"/>
              </w:rPr>
              <w:t xml:space="preserve">The visitor economy supports 1.4 million jobs in the UK, has been the fastest growing sector </w:t>
            </w:r>
            <w:r w:rsidR="003D0FE8">
              <w:rPr>
                <w:sz w:val="18"/>
                <w:szCs w:val="18"/>
              </w:rPr>
              <w:t>over</w:t>
            </w:r>
            <w:r>
              <w:rPr>
                <w:sz w:val="18"/>
                <w:szCs w:val="18"/>
              </w:rPr>
              <w:t xml:space="preserve"> recent years and is expected to grow one and a half times faster than the economy as a whole over the next decade.</w:t>
            </w:r>
          </w:p>
          <w:p w:rsidR="00BA477C" w:rsidRDefault="00BA477C" w:rsidP="00BA477C">
            <w:pPr>
              <w:pStyle w:val="normalnumbered"/>
              <w:numPr>
                <w:ilvl w:val="0"/>
                <w:numId w:val="24"/>
              </w:numPr>
              <w:spacing w:after="120" w:line="264" w:lineRule="auto"/>
              <w:ind w:right="176"/>
              <w:rPr>
                <w:sz w:val="18"/>
                <w:szCs w:val="18"/>
              </w:rPr>
            </w:pPr>
            <w:r>
              <w:rPr>
                <w:sz w:val="18"/>
                <w:szCs w:val="18"/>
              </w:rPr>
              <w:t xml:space="preserve">There remains a strong push at a national level to increase levels of inbound tourism to the UK, aided by lower oil prices and the lasting effects of the London 2012 Olympics.  2015 looks set to be a record year, with an estimated 31.5 million overseas visitors and associated expenditure of </w:t>
            </w:r>
            <w:r w:rsidRPr="00B93963">
              <w:rPr>
                <w:sz w:val="18"/>
                <w:szCs w:val="18"/>
              </w:rPr>
              <w:t>£22.2bn</w:t>
            </w:r>
            <w:r>
              <w:rPr>
                <w:sz w:val="18"/>
                <w:szCs w:val="18"/>
              </w:rPr>
              <w:t>.</w:t>
            </w:r>
          </w:p>
          <w:p w:rsidR="00BA477C" w:rsidRPr="00BA477C" w:rsidRDefault="00BA477C" w:rsidP="00BA477C">
            <w:pPr>
              <w:pStyle w:val="normalnumbered"/>
              <w:numPr>
                <w:ilvl w:val="0"/>
                <w:numId w:val="24"/>
              </w:numPr>
              <w:spacing w:after="120" w:line="264" w:lineRule="auto"/>
              <w:ind w:right="176"/>
              <w:rPr>
                <w:sz w:val="18"/>
                <w:szCs w:val="18"/>
              </w:rPr>
            </w:pPr>
            <w:r w:rsidRPr="00BA477C">
              <w:rPr>
                <w:sz w:val="18"/>
                <w:szCs w:val="18"/>
              </w:rPr>
              <w:t>In 2014 there in excess of 90 million overnight stays in England by British residents</w:t>
            </w:r>
            <w:r w:rsidR="003D0FE8">
              <w:rPr>
                <w:sz w:val="18"/>
                <w:szCs w:val="18"/>
              </w:rPr>
              <w:t>,</w:t>
            </w:r>
            <w:r w:rsidRPr="00BA477C">
              <w:rPr>
                <w:sz w:val="18"/>
                <w:szCs w:val="18"/>
              </w:rPr>
              <w:t xml:space="preserve"> resulting in £18.1bn of spend.  </w:t>
            </w:r>
            <w:r w:rsidRPr="00BA477C">
              <w:rPr>
                <w:rFonts w:cs="Arial"/>
                <w:sz w:val="18"/>
                <w:szCs w:val="18"/>
              </w:rPr>
              <w:t xml:space="preserve">in the same year, there were 1.3 billion day trips in the UK (£45bn spend) and 233 million nights (£19.1bn) spent </w:t>
            </w:r>
            <w:r w:rsidR="003D0FE8">
              <w:rPr>
                <w:rFonts w:cs="Arial"/>
                <w:sz w:val="18"/>
                <w:szCs w:val="18"/>
              </w:rPr>
              <w:t xml:space="preserve">in the UK </w:t>
            </w:r>
            <w:r w:rsidRPr="00BA477C">
              <w:rPr>
                <w:rFonts w:cs="Arial"/>
                <w:sz w:val="18"/>
                <w:szCs w:val="18"/>
              </w:rPr>
              <w:t xml:space="preserve">by overseas visitors. </w:t>
            </w:r>
          </w:p>
          <w:p w:rsidR="00BA477C" w:rsidRPr="00BA477C" w:rsidRDefault="00BA477C" w:rsidP="00BA477C">
            <w:pPr>
              <w:pStyle w:val="normalnumbered"/>
              <w:numPr>
                <w:ilvl w:val="0"/>
                <w:numId w:val="24"/>
              </w:numPr>
              <w:spacing w:after="120" w:line="264" w:lineRule="auto"/>
              <w:ind w:right="176"/>
              <w:rPr>
                <w:sz w:val="18"/>
                <w:szCs w:val="18"/>
              </w:rPr>
            </w:pPr>
            <w:r>
              <w:rPr>
                <w:sz w:val="18"/>
                <w:szCs w:val="18"/>
              </w:rPr>
              <w:t xml:space="preserve">The visitor economy nonetheless faces challenges.  A perception exists that </w:t>
            </w:r>
            <w:r w:rsidRPr="000A35D5">
              <w:rPr>
                <w:rFonts w:cs="Arial"/>
                <w:sz w:val="18"/>
                <w:szCs w:val="18"/>
              </w:rPr>
              <w:t xml:space="preserve">overseas destinations offer better value for </w:t>
            </w:r>
            <w:r w:rsidR="003D0FE8">
              <w:rPr>
                <w:rFonts w:cs="Arial"/>
                <w:sz w:val="18"/>
                <w:szCs w:val="18"/>
              </w:rPr>
              <w:t xml:space="preserve">money </w:t>
            </w:r>
            <w:r>
              <w:rPr>
                <w:rFonts w:cs="Arial"/>
                <w:sz w:val="18"/>
                <w:szCs w:val="18"/>
              </w:rPr>
              <w:t>and there is li</w:t>
            </w:r>
            <w:r w:rsidRPr="000A35D5">
              <w:rPr>
                <w:rFonts w:cs="Arial"/>
                <w:sz w:val="18"/>
                <w:szCs w:val="18"/>
              </w:rPr>
              <w:t xml:space="preserve">mited knowledge </w:t>
            </w:r>
            <w:r w:rsidR="003D0FE8">
              <w:rPr>
                <w:rFonts w:cs="Arial"/>
                <w:sz w:val="18"/>
                <w:szCs w:val="18"/>
              </w:rPr>
              <w:t>of</w:t>
            </w:r>
            <w:r w:rsidRPr="000A35D5">
              <w:rPr>
                <w:rFonts w:cs="Arial"/>
                <w:sz w:val="18"/>
                <w:szCs w:val="18"/>
              </w:rPr>
              <w:t xml:space="preserve"> the breadth and quality of the </w:t>
            </w:r>
            <w:r>
              <w:rPr>
                <w:rFonts w:cs="Arial"/>
                <w:sz w:val="18"/>
                <w:szCs w:val="18"/>
              </w:rPr>
              <w:t xml:space="preserve">domestic visitor economy offer.  Attracting, </w:t>
            </w:r>
            <w:r w:rsidRPr="000A35D5">
              <w:rPr>
                <w:rFonts w:cs="Arial"/>
                <w:sz w:val="18"/>
                <w:szCs w:val="18"/>
              </w:rPr>
              <w:t>retaining and motivating staff to work in the sector</w:t>
            </w:r>
            <w:r>
              <w:rPr>
                <w:sz w:val="18"/>
                <w:szCs w:val="18"/>
              </w:rPr>
              <w:t xml:space="preserve"> is difficult and an over-stretched transport infrastructure </w:t>
            </w:r>
            <w:r w:rsidRPr="008F5E0B">
              <w:rPr>
                <w:rFonts w:cs="Arial"/>
                <w:sz w:val="18"/>
                <w:szCs w:val="18"/>
              </w:rPr>
              <w:t>can impact negatively on the visitor experience, especially during high season.</w:t>
            </w:r>
          </w:p>
          <w:p w:rsidR="00FF6631" w:rsidRPr="00BA477C" w:rsidRDefault="00BA477C" w:rsidP="003D0FE8">
            <w:pPr>
              <w:pStyle w:val="normalnumbered"/>
              <w:numPr>
                <w:ilvl w:val="0"/>
                <w:numId w:val="24"/>
              </w:numPr>
              <w:spacing w:after="120" w:line="264" w:lineRule="auto"/>
              <w:ind w:right="176"/>
              <w:rPr>
                <w:sz w:val="18"/>
                <w:szCs w:val="18"/>
              </w:rPr>
            </w:pPr>
            <w:r>
              <w:rPr>
                <w:sz w:val="18"/>
                <w:szCs w:val="18"/>
              </w:rPr>
              <w:t xml:space="preserve">Opportunities </w:t>
            </w:r>
            <w:r w:rsidR="003D0FE8">
              <w:rPr>
                <w:sz w:val="18"/>
                <w:szCs w:val="18"/>
              </w:rPr>
              <w:t xml:space="preserve">for the sector </w:t>
            </w:r>
            <w:r>
              <w:rPr>
                <w:sz w:val="18"/>
                <w:szCs w:val="18"/>
              </w:rPr>
              <w:t xml:space="preserve">include a growing senior market, </w:t>
            </w:r>
            <w:r w:rsidR="003D0FE8">
              <w:rPr>
                <w:rFonts w:cs="Arial"/>
                <w:sz w:val="18"/>
                <w:szCs w:val="18"/>
              </w:rPr>
              <w:t>increasing</w:t>
            </w:r>
            <w:r>
              <w:rPr>
                <w:rFonts w:cs="Arial"/>
                <w:sz w:val="18"/>
                <w:szCs w:val="18"/>
              </w:rPr>
              <w:t xml:space="preserve"> demand for engaging and </w:t>
            </w:r>
            <w:r w:rsidRPr="000A35D5">
              <w:rPr>
                <w:rFonts w:cs="Arial"/>
                <w:sz w:val="18"/>
                <w:szCs w:val="18"/>
              </w:rPr>
              <w:t xml:space="preserve">unique </w:t>
            </w:r>
            <w:r w:rsidR="003D0FE8">
              <w:rPr>
                <w:rFonts w:cs="Arial"/>
                <w:sz w:val="18"/>
                <w:szCs w:val="18"/>
              </w:rPr>
              <w:t xml:space="preserve">visitor </w:t>
            </w:r>
            <w:r w:rsidRPr="000A35D5">
              <w:rPr>
                <w:rFonts w:cs="Arial"/>
                <w:sz w:val="18"/>
                <w:szCs w:val="18"/>
              </w:rPr>
              <w:t>experiences</w:t>
            </w:r>
            <w:r>
              <w:rPr>
                <w:rFonts w:cs="Arial"/>
                <w:sz w:val="18"/>
                <w:szCs w:val="18"/>
              </w:rPr>
              <w:t xml:space="preserve"> and greater opportunities for digital marketing and promotion. </w:t>
            </w:r>
          </w:p>
        </w:tc>
      </w:tr>
    </w:tbl>
    <w:p w:rsidR="00FF6631" w:rsidRPr="00D14630" w:rsidRDefault="00FF6631" w:rsidP="00BA477C">
      <w:pPr>
        <w:pStyle w:val="normalnumbered"/>
        <w:tabs>
          <w:tab w:val="clear" w:pos="2666"/>
        </w:tabs>
        <w:spacing w:after="120" w:line="264" w:lineRule="auto"/>
        <w:ind w:left="1112" w:right="40" w:firstLine="0"/>
        <w:rPr>
          <w:sz w:val="2"/>
          <w:szCs w:val="2"/>
        </w:rPr>
      </w:pPr>
    </w:p>
    <w:p w:rsidR="00FF6631" w:rsidRDefault="00FF6631" w:rsidP="00C66A67">
      <w:pPr>
        <w:spacing w:before="120" w:after="120" w:line="264" w:lineRule="auto"/>
        <w:jc w:val="both"/>
        <w:rPr>
          <w:rFonts w:ascii="Arial Bold" w:hAnsi="Arial Bold" w:cs="Arial"/>
          <w:b/>
          <w:color w:val="6C2768"/>
          <w:sz w:val="22"/>
          <w:szCs w:val="22"/>
          <w:lang w:eastAsia="en-GB"/>
        </w:rPr>
      </w:pPr>
    </w:p>
    <w:p w:rsidR="00FF6631" w:rsidRDefault="00FF6631" w:rsidP="00C66A67">
      <w:pPr>
        <w:spacing w:before="120" w:after="120" w:line="264" w:lineRule="auto"/>
        <w:jc w:val="both"/>
        <w:rPr>
          <w:rFonts w:ascii="Arial Bold" w:hAnsi="Arial Bold" w:cs="Arial"/>
          <w:b/>
          <w:color w:val="6C2768"/>
          <w:sz w:val="22"/>
          <w:szCs w:val="22"/>
          <w:lang w:eastAsia="en-GB"/>
        </w:rPr>
      </w:pPr>
    </w:p>
    <w:p w:rsidR="00FF6631" w:rsidRDefault="00FF6631" w:rsidP="00C66A67">
      <w:pPr>
        <w:spacing w:before="120" w:after="120" w:line="264" w:lineRule="auto"/>
        <w:jc w:val="both"/>
        <w:rPr>
          <w:rFonts w:ascii="Arial Bold" w:hAnsi="Arial Bold" w:cs="Arial"/>
          <w:b/>
          <w:color w:val="6C2768"/>
          <w:sz w:val="22"/>
          <w:szCs w:val="22"/>
          <w:lang w:eastAsia="en-GB"/>
        </w:rPr>
      </w:pPr>
    </w:p>
    <w:p w:rsidR="00FF6631" w:rsidRDefault="00FF6631" w:rsidP="00C66A67">
      <w:pPr>
        <w:spacing w:before="120" w:after="120" w:line="264" w:lineRule="auto"/>
        <w:jc w:val="both"/>
        <w:rPr>
          <w:rFonts w:ascii="Arial Bold" w:hAnsi="Arial Bold" w:cs="Arial"/>
          <w:b/>
          <w:color w:val="6C2768"/>
          <w:sz w:val="22"/>
          <w:szCs w:val="22"/>
          <w:lang w:eastAsia="en-GB"/>
        </w:rPr>
      </w:pPr>
    </w:p>
    <w:p w:rsidR="00C66A67" w:rsidRPr="005968F0" w:rsidRDefault="00C66A67" w:rsidP="00C66A67">
      <w:pPr>
        <w:spacing w:before="120" w:after="120" w:line="264" w:lineRule="auto"/>
        <w:jc w:val="both"/>
        <w:rPr>
          <w:rFonts w:ascii="Arial Bold" w:hAnsi="Arial Bold" w:cs="Arial"/>
          <w:b/>
          <w:color w:val="6C2768"/>
          <w:sz w:val="22"/>
          <w:szCs w:val="22"/>
          <w:lang w:eastAsia="en-GB"/>
        </w:rPr>
      </w:pPr>
      <w:r w:rsidRPr="005968F0">
        <w:rPr>
          <w:rFonts w:ascii="Arial Bold" w:hAnsi="Arial Bold" w:cs="Arial"/>
          <w:b/>
          <w:color w:val="6C2768"/>
          <w:sz w:val="22"/>
          <w:szCs w:val="22"/>
          <w:lang w:eastAsia="en-GB"/>
        </w:rPr>
        <w:lastRenderedPageBreak/>
        <w:t>Scale and Contribution</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The visitor economy is integral to the nation’s prosperity. It directly supports 1.4 million jobs and contributes £48bn a year to the national economy.  These figures rise to 2.6 million jobs and a contribution of £106bn when indirect benefits</w:t>
      </w:r>
      <w:r>
        <w:rPr>
          <w:rStyle w:val="FootnoteReference"/>
          <w:sz w:val="18"/>
          <w:szCs w:val="18"/>
        </w:rPr>
        <w:footnoteReference w:id="1"/>
      </w:r>
      <w:r>
        <w:rPr>
          <w:sz w:val="18"/>
          <w:szCs w:val="18"/>
        </w:rPr>
        <w:t xml:space="preserve"> are also included</w:t>
      </w:r>
      <w:r>
        <w:rPr>
          <w:rStyle w:val="FootnoteReference"/>
          <w:sz w:val="18"/>
          <w:szCs w:val="18"/>
        </w:rPr>
        <w:footnoteReference w:id="2"/>
      </w:r>
      <w:r>
        <w:rPr>
          <w:sz w:val="18"/>
          <w:szCs w:val="18"/>
        </w:rPr>
        <w:t>. In 2013, the visitor economy accounted for approximately 10% of all employment in the UK and 9% of all Gross Domestic Product</w:t>
      </w:r>
      <w:r>
        <w:rPr>
          <w:rStyle w:val="FootnoteReference"/>
          <w:sz w:val="18"/>
          <w:szCs w:val="18"/>
        </w:rPr>
        <w:footnoteReference w:id="3"/>
      </w:r>
      <w:r>
        <w:rPr>
          <w:sz w:val="18"/>
          <w:szCs w:val="18"/>
        </w:rPr>
        <w:t xml:space="preserve">.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Since 2010, the visitor economy has been the fastest growing sector in the UK and accounted for a third of the total net increase in jobs between 2010 and 2012</w:t>
      </w:r>
      <w:r>
        <w:rPr>
          <w:rStyle w:val="FootnoteReference"/>
          <w:sz w:val="18"/>
          <w:szCs w:val="18"/>
        </w:rPr>
        <w:footnoteReference w:id="4"/>
      </w:r>
      <w:r>
        <w:rPr>
          <w:sz w:val="18"/>
          <w:szCs w:val="18"/>
        </w:rPr>
        <w:t>.  The growth in inbound tourism and</w:t>
      </w:r>
      <w:r w:rsidR="005968F0">
        <w:rPr>
          <w:sz w:val="18"/>
          <w:szCs w:val="18"/>
        </w:rPr>
        <w:t xml:space="preserve"> an increase in domestic trips </w:t>
      </w:r>
      <w:r>
        <w:rPr>
          <w:sz w:val="18"/>
          <w:szCs w:val="18"/>
        </w:rPr>
        <w:t>which, following a peak in 2009, have remain</w:t>
      </w:r>
      <w:r w:rsidR="005D26D0">
        <w:rPr>
          <w:sz w:val="18"/>
          <w:szCs w:val="18"/>
        </w:rPr>
        <w:t>ed</w:t>
      </w:r>
      <w:r>
        <w:rPr>
          <w:sz w:val="18"/>
          <w:szCs w:val="18"/>
        </w:rPr>
        <w:t xml:space="preserve"> above pre-recession levels</w:t>
      </w:r>
      <w:r>
        <w:rPr>
          <w:rStyle w:val="FootnoteReference"/>
          <w:sz w:val="18"/>
          <w:szCs w:val="18"/>
        </w:rPr>
        <w:footnoteReference w:id="5"/>
      </w:r>
      <w:r w:rsidR="005968F0">
        <w:rPr>
          <w:sz w:val="18"/>
          <w:szCs w:val="18"/>
        </w:rPr>
        <w:t xml:space="preserve">, </w:t>
      </w:r>
      <w:r>
        <w:rPr>
          <w:sz w:val="18"/>
          <w:szCs w:val="18"/>
        </w:rPr>
        <w:t xml:space="preserve">have been amongst the key drivers of this growth. </w:t>
      </w:r>
    </w:p>
    <w:p w:rsidR="00C66A67" w:rsidRPr="005968F0"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sidRPr="005968F0">
        <w:rPr>
          <w:sz w:val="18"/>
          <w:szCs w:val="18"/>
        </w:rPr>
        <w:t>The GVA (Gross Value Added) multiplier for tourism has been estimated at 2.2, i.e. for every £1,000 of direct GVA that is generated in tourism, a further £1,200 is secured elsewhere in the economy as a result of supply chain transactions</w:t>
      </w:r>
      <w:r>
        <w:rPr>
          <w:rStyle w:val="FootnoteReference"/>
          <w:sz w:val="18"/>
          <w:szCs w:val="18"/>
        </w:rPr>
        <w:footnoteReference w:id="6"/>
      </w:r>
      <w:r w:rsidRPr="005968F0">
        <w:rPr>
          <w:sz w:val="18"/>
          <w:szCs w:val="18"/>
        </w:rPr>
        <w:t>. National forecasts for the sector remain strong: Deloitte are predicting 630,000 more tourism jobs by 2025</w:t>
      </w:r>
      <w:r>
        <w:rPr>
          <w:rStyle w:val="FootnoteReference"/>
          <w:sz w:val="18"/>
          <w:szCs w:val="18"/>
        </w:rPr>
        <w:footnoteReference w:id="7"/>
      </w:r>
      <w:r w:rsidRPr="005968F0">
        <w:rPr>
          <w:sz w:val="18"/>
          <w:szCs w:val="18"/>
        </w:rPr>
        <w:t>, while Oxford Economics expect employment in the tourism and culture sector to grow one and a half times faster than the economy as a whole over the same period</w:t>
      </w:r>
      <w:r>
        <w:rPr>
          <w:rStyle w:val="FootnoteReference"/>
          <w:sz w:val="18"/>
          <w:szCs w:val="18"/>
        </w:rPr>
        <w:footnoteReference w:id="8"/>
      </w:r>
      <w:r w:rsidRPr="005968F0">
        <w:rPr>
          <w:sz w:val="18"/>
          <w:szCs w:val="18"/>
        </w:rPr>
        <w:t xml:space="preserve">.  </w:t>
      </w:r>
    </w:p>
    <w:p w:rsidR="00C66A67" w:rsidRPr="00662CAA"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sidRPr="00662CAA">
        <w:rPr>
          <w:sz w:val="18"/>
          <w:szCs w:val="18"/>
        </w:rPr>
        <w:t xml:space="preserve">The strong baseline position and the positive future outlook </w:t>
      </w:r>
      <w:r>
        <w:rPr>
          <w:sz w:val="18"/>
          <w:szCs w:val="18"/>
        </w:rPr>
        <w:t xml:space="preserve">are down to </w:t>
      </w:r>
      <w:r w:rsidR="005968F0">
        <w:rPr>
          <w:sz w:val="18"/>
          <w:szCs w:val="18"/>
        </w:rPr>
        <w:t>several</w:t>
      </w:r>
      <w:r>
        <w:rPr>
          <w:sz w:val="18"/>
          <w:szCs w:val="18"/>
        </w:rPr>
        <w:t xml:space="preserve"> </w:t>
      </w:r>
      <w:r w:rsidRPr="00662CAA">
        <w:rPr>
          <w:sz w:val="18"/>
          <w:szCs w:val="18"/>
        </w:rPr>
        <w:t>factors, although the prevalence and spending of three specific visitor groups/types are particularly important</w:t>
      </w:r>
      <w:r>
        <w:rPr>
          <w:rStyle w:val="FootnoteReference"/>
          <w:sz w:val="18"/>
          <w:szCs w:val="18"/>
        </w:rPr>
        <w:footnoteReference w:id="9"/>
      </w:r>
      <w:r w:rsidRPr="00662CAA">
        <w:rPr>
          <w:sz w:val="18"/>
          <w:szCs w:val="18"/>
        </w:rPr>
        <w:t xml:space="preserve">: </w:t>
      </w:r>
    </w:p>
    <w:p w:rsidR="00C66A67" w:rsidRPr="004911D8"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662CAA">
        <w:rPr>
          <w:rFonts w:ascii="Arial Bold" w:hAnsi="Arial Bold" w:cs="Arial"/>
          <w:b/>
          <w:color w:val="6C2768"/>
          <w:sz w:val="18"/>
          <w:szCs w:val="18"/>
        </w:rPr>
        <w:lastRenderedPageBreak/>
        <w:t>Overnight stays by British residents:</w:t>
      </w:r>
      <w:r w:rsidRPr="00662CAA">
        <w:rPr>
          <w:rFonts w:ascii="Arial" w:hAnsi="Arial" w:cs="Arial"/>
          <w:color w:val="6C2768"/>
          <w:sz w:val="18"/>
          <w:szCs w:val="18"/>
        </w:rPr>
        <w:t xml:space="preserve"> </w:t>
      </w:r>
      <w:r>
        <w:rPr>
          <w:rFonts w:ascii="Arial" w:hAnsi="Arial" w:cs="Arial"/>
          <w:sz w:val="18"/>
          <w:szCs w:val="18"/>
        </w:rPr>
        <w:t>in 2014, there were in excess of 90 million overnight stays in England by British residents, resulting in some £18.1bn of spend</w:t>
      </w:r>
      <w:r w:rsidRPr="004911D8">
        <w:rPr>
          <w:rFonts w:ascii="Arial" w:hAnsi="Arial" w:cs="Arial"/>
          <w:sz w:val="18"/>
          <w:szCs w:val="18"/>
        </w:rPr>
        <w:t>.</w:t>
      </w:r>
    </w:p>
    <w:p w:rsidR="00C66A67" w:rsidRPr="004911D8"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662CAA">
        <w:rPr>
          <w:rFonts w:ascii="Arial Bold" w:hAnsi="Arial Bold" w:cs="Arial"/>
          <w:b/>
          <w:color w:val="6C2768"/>
          <w:sz w:val="18"/>
          <w:szCs w:val="18"/>
        </w:rPr>
        <w:t>Day trips:</w:t>
      </w:r>
      <w:r w:rsidRPr="00662CAA">
        <w:rPr>
          <w:rFonts w:ascii="Arial" w:hAnsi="Arial" w:cs="Arial"/>
          <w:color w:val="6C2768"/>
          <w:sz w:val="18"/>
          <w:szCs w:val="18"/>
        </w:rPr>
        <w:t xml:space="preserve"> </w:t>
      </w:r>
      <w:r w:rsidRPr="00DE335B">
        <w:rPr>
          <w:rFonts w:ascii="Arial" w:hAnsi="Arial" w:cs="Arial"/>
          <w:sz w:val="18"/>
          <w:szCs w:val="18"/>
        </w:rPr>
        <w:t>in the same year</w:t>
      </w:r>
      <w:r>
        <w:rPr>
          <w:rFonts w:ascii="Arial" w:hAnsi="Arial" w:cs="Arial"/>
          <w:sz w:val="18"/>
          <w:szCs w:val="18"/>
        </w:rPr>
        <w:t>, there were 1.3</w:t>
      </w:r>
      <w:r w:rsidRPr="004911D8">
        <w:rPr>
          <w:rFonts w:ascii="Arial" w:hAnsi="Arial" w:cs="Arial"/>
          <w:sz w:val="18"/>
          <w:szCs w:val="18"/>
        </w:rPr>
        <w:t xml:space="preserve"> billion day trips</w:t>
      </w:r>
      <w:r>
        <w:rPr>
          <w:rFonts w:ascii="Arial" w:hAnsi="Arial" w:cs="Arial"/>
          <w:sz w:val="18"/>
          <w:szCs w:val="18"/>
        </w:rPr>
        <w:t xml:space="preserve"> in the UK, generating spend of £45</w:t>
      </w:r>
      <w:r w:rsidRPr="004911D8">
        <w:rPr>
          <w:rFonts w:ascii="Arial" w:hAnsi="Arial" w:cs="Arial"/>
          <w:sz w:val="18"/>
          <w:szCs w:val="18"/>
        </w:rPr>
        <w:t>bn.</w:t>
      </w:r>
    </w:p>
    <w:p w:rsidR="00C66A67"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662CAA">
        <w:rPr>
          <w:rFonts w:ascii="Arial Bold" w:hAnsi="Arial Bold" w:cs="Arial"/>
          <w:b/>
          <w:color w:val="6C2768"/>
          <w:sz w:val="18"/>
          <w:szCs w:val="18"/>
        </w:rPr>
        <w:t>Overseas visitors:</w:t>
      </w:r>
      <w:r w:rsidRPr="00662CAA">
        <w:rPr>
          <w:rFonts w:ascii="Arial" w:hAnsi="Arial" w:cs="Arial"/>
          <w:color w:val="6C2768"/>
          <w:sz w:val="18"/>
          <w:szCs w:val="18"/>
        </w:rPr>
        <w:t xml:space="preserve"> </w:t>
      </w:r>
      <w:r>
        <w:rPr>
          <w:rFonts w:ascii="Arial" w:hAnsi="Arial" w:cs="Arial"/>
          <w:sz w:val="18"/>
          <w:szCs w:val="18"/>
        </w:rPr>
        <w:t>233 million nights, 29.8 million trips and £19.1</w:t>
      </w:r>
      <w:r w:rsidRPr="004911D8">
        <w:rPr>
          <w:rFonts w:ascii="Arial" w:hAnsi="Arial" w:cs="Arial"/>
          <w:sz w:val="18"/>
          <w:szCs w:val="18"/>
        </w:rPr>
        <w:t xml:space="preserve">bn </w:t>
      </w:r>
      <w:r>
        <w:rPr>
          <w:rFonts w:ascii="Arial" w:hAnsi="Arial" w:cs="Arial"/>
          <w:sz w:val="18"/>
          <w:szCs w:val="18"/>
        </w:rPr>
        <w:t xml:space="preserve">of spend occurred as a result of overseas visitors to the UK in 2014.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 xml:space="preserve">In recognition of its financial significance, and in keeping with the growing trend for worldwide travel, there has been a strong push at a national level to increase levels of inbound tourism to the UK.  Visit Britain’s </w:t>
      </w:r>
      <w:r w:rsidRPr="00A9210E">
        <w:rPr>
          <w:i/>
          <w:sz w:val="18"/>
          <w:szCs w:val="18"/>
        </w:rPr>
        <w:t>Delivering a Golden Legacy: A growth strategy for inbound tourism to Britain from 2012 to 2020</w:t>
      </w:r>
      <w:r>
        <w:rPr>
          <w:sz w:val="18"/>
          <w:szCs w:val="18"/>
        </w:rPr>
        <w:t xml:space="preserve"> set a target of 40 million additional visitors (a 23% uplift), while a series of schemes have sought to increase trade for Britain’s tourism sector, including the GREAT Britain campaign which sells Britain’s tourism offer in the international marketplace.  These schemes, combined with t</w:t>
      </w:r>
      <w:r w:rsidRPr="00B93963">
        <w:rPr>
          <w:sz w:val="18"/>
          <w:szCs w:val="18"/>
        </w:rPr>
        <w:t xml:space="preserve">he </w:t>
      </w:r>
      <w:r>
        <w:rPr>
          <w:sz w:val="18"/>
          <w:szCs w:val="18"/>
        </w:rPr>
        <w:t xml:space="preserve">lasting effects of the </w:t>
      </w:r>
      <w:r w:rsidRPr="00B93963">
        <w:rPr>
          <w:sz w:val="18"/>
          <w:szCs w:val="18"/>
        </w:rPr>
        <w:t xml:space="preserve">London 2012 </w:t>
      </w:r>
      <w:r>
        <w:rPr>
          <w:sz w:val="18"/>
          <w:szCs w:val="18"/>
        </w:rPr>
        <w:t xml:space="preserve">Olympics and low </w:t>
      </w:r>
      <w:r w:rsidRPr="00B93963">
        <w:rPr>
          <w:sz w:val="18"/>
          <w:szCs w:val="18"/>
        </w:rPr>
        <w:t>oil prices</w:t>
      </w:r>
      <w:r>
        <w:rPr>
          <w:sz w:val="18"/>
          <w:szCs w:val="18"/>
        </w:rPr>
        <w:t>,</w:t>
      </w:r>
      <w:r w:rsidRPr="00B93963">
        <w:rPr>
          <w:sz w:val="18"/>
          <w:szCs w:val="18"/>
        </w:rPr>
        <w:t xml:space="preserve"> </w:t>
      </w:r>
      <w:r>
        <w:rPr>
          <w:sz w:val="18"/>
          <w:szCs w:val="18"/>
        </w:rPr>
        <w:t xml:space="preserve">are resulting in increased numbers of </w:t>
      </w:r>
      <w:r w:rsidRPr="00B93963">
        <w:rPr>
          <w:sz w:val="18"/>
          <w:szCs w:val="18"/>
        </w:rPr>
        <w:t xml:space="preserve">overseas visitors </w:t>
      </w:r>
      <w:r>
        <w:rPr>
          <w:sz w:val="18"/>
          <w:szCs w:val="18"/>
        </w:rPr>
        <w:t xml:space="preserve">coming </w:t>
      </w:r>
      <w:r w:rsidRPr="00B93963">
        <w:rPr>
          <w:sz w:val="18"/>
          <w:szCs w:val="18"/>
        </w:rPr>
        <w:t>t</w:t>
      </w:r>
      <w:r>
        <w:rPr>
          <w:sz w:val="18"/>
          <w:szCs w:val="18"/>
        </w:rPr>
        <w:t>o the UK. Looking ahead, this is expected to continue, with 2015 set to be a record year (</w:t>
      </w:r>
      <w:r w:rsidRPr="00B93963">
        <w:rPr>
          <w:sz w:val="18"/>
          <w:szCs w:val="18"/>
        </w:rPr>
        <w:t xml:space="preserve">VisitBritain </w:t>
      </w:r>
      <w:r>
        <w:rPr>
          <w:sz w:val="18"/>
          <w:szCs w:val="18"/>
        </w:rPr>
        <w:t xml:space="preserve">forecasts 31.5 million overseas visitors and expenditure of </w:t>
      </w:r>
      <w:r w:rsidRPr="00B93963">
        <w:rPr>
          <w:sz w:val="18"/>
          <w:szCs w:val="18"/>
        </w:rPr>
        <w:t>£22.2bn</w:t>
      </w:r>
      <w:r>
        <w:rPr>
          <w:rStyle w:val="FootnoteReference"/>
          <w:sz w:val="18"/>
          <w:szCs w:val="18"/>
        </w:rPr>
        <w:footnoteReference w:id="10"/>
      </w:r>
      <w:r>
        <w:rPr>
          <w:sz w:val="18"/>
          <w:szCs w:val="18"/>
        </w:rPr>
        <w:t xml:space="preserve">).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In addition, there were almost 21.7 million b</w:t>
      </w:r>
      <w:r w:rsidRPr="00094B33">
        <w:rPr>
          <w:sz w:val="18"/>
          <w:szCs w:val="18"/>
        </w:rPr>
        <w:t xml:space="preserve">usiness trips (domestic and from overseas) </w:t>
      </w:r>
      <w:r>
        <w:rPr>
          <w:sz w:val="18"/>
          <w:szCs w:val="18"/>
        </w:rPr>
        <w:t>made in/to the UK in 2013</w:t>
      </w:r>
      <w:r>
        <w:rPr>
          <w:rStyle w:val="FootnoteReference"/>
          <w:sz w:val="18"/>
          <w:szCs w:val="18"/>
        </w:rPr>
        <w:footnoteReference w:id="11"/>
      </w:r>
      <w:r w:rsidRPr="00094B33">
        <w:rPr>
          <w:sz w:val="18"/>
          <w:szCs w:val="18"/>
        </w:rPr>
        <w:t xml:space="preserve">. </w:t>
      </w:r>
      <w:r>
        <w:rPr>
          <w:sz w:val="18"/>
          <w:szCs w:val="18"/>
        </w:rPr>
        <w:t xml:space="preserve">Whilst during the recession the number of trips </w:t>
      </w:r>
      <w:r w:rsidR="005D26D0">
        <w:rPr>
          <w:sz w:val="18"/>
          <w:szCs w:val="18"/>
        </w:rPr>
        <w:t>fell</w:t>
      </w:r>
      <w:r>
        <w:rPr>
          <w:sz w:val="18"/>
          <w:szCs w:val="18"/>
        </w:rPr>
        <w:t>, a recent UK Event Markets Trends survey pointed towards significant increases during 2015 and beyond</w:t>
      </w:r>
      <w:r>
        <w:rPr>
          <w:rStyle w:val="FootnoteReference"/>
          <w:sz w:val="18"/>
          <w:szCs w:val="18"/>
        </w:rPr>
        <w:footnoteReference w:id="12"/>
      </w:r>
      <w:r>
        <w:rPr>
          <w:sz w:val="18"/>
          <w:szCs w:val="18"/>
        </w:rPr>
        <w:t xml:space="preserve">.  </w:t>
      </w:r>
    </w:p>
    <w:p w:rsidR="00BA477C" w:rsidRDefault="00BA477C" w:rsidP="00C66A67">
      <w:pPr>
        <w:spacing w:before="120" w:after="120" w:line="264" w:lineRule="auto"/>
        <w:jc w:val="both"/>
        <w:rPr>
          <w:rFonts w:ascii="Arial" w:hAnsi="Arial" w:cs="Arial"/>
          <w:b/>
          <w:color w:val="660066"/>
          <w:sz w:val="22"/>
          <w:szCs w:val="22"/>
          <w:lang w:eastAsia="en-GB"/>
        </w:rPr>
      </w:pPr>
    </w:p>
    <w:p w:rsidR="00BA477C" w:rsidRDefault="00BA477C" w:rsidP="00C66A67">
      <w:pPr>
        <w:spacing w:before="120" w:after="120" w:line="264" w:lineRule="auto"/>
        <w:jc w:val="both"/>
        <w:rPr>
          <w:rFonts w:ascii="Arial" w:hAnsi="Arial" w:cs="Arial"/>
          <w:b/>
          <w:color w:val="660066"/>
          <w:sz w:val="22"/>
          <w:szCs w:val="22"/>
          <w:lang w:eastAsia="en-GB"/>
        </w:rPr>
      </w:pPr>
    </w:p>
    <w:p w:rsidR="00BA477C" w:rsidRDefault="00BA477C" w:rsidP="00C66A67">
      <w:pPr>
        <w:spacing w:before="120" w:after="120" w:line="264" w:lineRule="auto"/>
        <w:jc w:val="both"/>
        <w:rPr>
          <w:rFonts w:ascii="Arial" w:hAnsi="Arial" w:cs="Arial"/>
          <w:b/>
          <w:color w:val="660066"/>
          <w:sz w:val="22"/>
          <w:szCs w:val="22"/>
          <w:lang w:eastAsia="en-GB"/>
        </w:rPr>
      </w:pPr>
    </w:p>
    <w:p w:rsidR="00BA477C" w:rsidRDefault="00BA477C" w:rsidP="00C66A67">
      <w:pPr>
        <w:spacing w:before="120" w:after="120" w:line="264" w:lineRule="auto"/>
        <w:jc w:val="both"/>
        <w:rPr>
          <w:rFonts w:ascii="Arial" w:hAnsi="Arial" w:cs="Arial"/>
          <w:b/>
          <w:color w:val="660066"/>
          <w:sz w:val="22"/>
          <w:szCs w:val="22"/>
          <w:lang w:eastAsia="en-GB"/>
        </w:rPr>
      </w:pPr>
    </w:p>
    <w:p w:rsidR="00BA477C" w:rsidRDefault="00BA477C" w:rsidP="00C66A67">
      <w:pPr>
        <w:spacing w:before="120" w:after="120" w:line="264" w:lineRule="auto"/>
        <w:jc w:val="both"/>
        <w:rPr>
          <w:rFonts w:ascii="Arial" w:hAnsi="Arial" w:cs="Arial"/>
          <w:b/>
          <w:color w:val="660066"/>
          <w:sz w:val="22"/>
          <w:szCs w:val="22"/>
          <w:lang w:eastAsia="en-GB"/>
        </w:rPr>
      </w:pPr>
    </w:p>
    <w:p w:rsidR="00C66A67" w:rsidRPr="00393F82" w:rsidRDefault="00C66A67" w:rsidP="00C66A67">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lastRenderedPageBreak/>
        <w:t>Domestic Tourism</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 xml:space="preserve">In broad terms, domestic trips for holiday purposes can be categorised under three main headings: seaside, urban and rural.   Key features of each are shown below.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33"/>
      </w:tblGrid>
      <w:tr w:rsidR="00C66A67" w:rsidTr="003A0984">
        <w:tc>
          <w:tcPr>
            <w:tcW w:w="6833" w:type="dxa"/>
            <w:shd w:val="clear" w:color="auto" w:fill="E5DFEC" w:themeFill="accent4" w:themeFillTint="33"/>
          </w:tcPr>
          <w:p w:rsidR="00C66A67" w:rsidRPr="008A42F2" w:rsidRDefault="00C66A67" w:rsidP="003A0984">
            <w:pPr>
              <w:pStyle w:val="normalnumbered"/>
              <w:tabs>
                <w:tab w:val="clear" w:pos="2666"/>
              </w:tabs>
              <w:spacing w:after="120" w:line="240" w:lineRule="auto"/>
              <w:ind w:left="0" w:right="40" w:firstLine="0"/>
              <w:jc w:val="center"/>
              <w:rPr>
                <w:color w:val="6C2768"/>
                <w:sz w:val="18"/>
                <w:szCs w:val="18"/>
              </w:rPr>
            </w:pPr>
            <w:r w:rsidRPr="008A42F2">
              <w:rPr>
                <w:b/>
                <w:color w:val="6C2768"/>
                <w:sz w:val="18"/>
                <w:szCs w:val="18"/>
              </w:rPr>
              <w:t>Seaside tourism</w:t>
            </w:r>
            <w:r w:rsidRPr="008A42F2">
              <w:rPr>
                <w:rStyle w:val="FootnoteReference"/>
                <w:b/>
                <w:color w:val="6C2768"/>
                <w:sz w:val="18"/>
                <w:szCs w:val="18"/>
              </w:rPr>
              <w:footnoteReference w:id="13"/>
            </w:r>
          </w:p>
          <w:p w:rsidR="00C66A67" w:rsidRDefault="00C66A67" w:rsidP="003A0984">
            <w:pPr>
              <w:pStyle w:val="normalnumbered"/>
              <w:tabs>
                <w:tab w:val="clear" w:pos="2666"/>
              </w:tabs>
              <w:spacing w:before="0" w:after="120" w:line="240" w:lineRule="auto"/>
              <w:ind w:left="0" w:right="40" w:firstLine="0"/>
              <w:rPr>
                <w:sz w:val="18"/>
                <w:szCs w:val="18"/>
              </w:rPr>
            </w:pPr>
            <w:r>
              <w:rPr>
                <w:sz w:val="18"/>
                <w:szCs w:val="18"/>
              </w:rPr>
              <w:t xml:space="preserve">Seaside destinations account for 31% of all overnight domestic trips made for holiday purposes, with almost half of all trips occurring between July and September.  Seaside trips are more likely than other trips to involve children, be made by people </w:t>
            </w:r>
            <w:r w:rsidR="005968F0">
              <w:rPr>
                <w:sz w:val="18"/>
                <w:szCs w:val="18"/>
              </w:rPr>
              <w:t xml:space="preserve">in the lower </w:t>
            </w:r>
            <w:r>
              <w:rPr>
                <w:sz w:val="18"/>
                <w:szCs w:val="18"/>
              </w:rPr>
              <w:t>social grades and involve longer stays.</w:t>
            </w:r>
          </w:p>
          <w:p w:rsidR="00C66A67" w:rsidRDefault="00C66A67" w:rsidP="003A0984">
            <w:pPr>
              <w:pStyle w:val="normalnumbered"/>
              <w:tabs>
                <w:tab w:val="clear" w:pos="2666"/>
              </w:tabs>
              <w:spacing w:before="0" w:after="120" w:line="240" w:lineRule="auto"/>
              <w:ind w:left="0" w:right="40" w:firstLine="0"/>
              <w:rPr>
                <w:sz w:val="18"/>
                <w:szCs w:val="18"/>
              </w:rPr>
            </w:pPr>
            <w:r>
              <w:rPr>
                <w:sz w:val="18"/>
                <w:szCs w:val="18"/>
              </w:rPr>
              <w:t xml:space="preserve">Blackpool was the second most commonly visited overnight seaside destination between 2010 and 2012, accounting for 1.48m overnight trips. Scarborough </w:t>
            </w:r>
            <w:r w:rsidR="005D26D0">
              <w:rPr>
                <w:sz w:val="18"/>
                <w:szCs w:val="18"/>
              </w:rPr>
              <w:t>was the most visited</w:t>
            </w:r>
            <w:r>
              <w:rPr>
                <w:sz w:val="18"/>
                <w:szCs w:val="18"/>
              </w:rPr>
              <w:t xml:space="preserve"> with 1.62m overnight trips.</w:t>
            </w:r>
          </w:p>
          <w:p w:rsidR="00C66A67" w:rsidRPr="00971220" w:rsidRDefault="00C66A67" w:rsidP="003A0984">
            <w:pPr>
              <w:pStyle w:val="normalnumbered"/>
              <w:tabs>
                <w:tab w:val="clear" w:pos="2666"/>
              </w:tabs>
              <w:spacing w:before="0" w:after="120" w:line="240" w:lineRule="auto"/>
              <w:ind w:left="0" w:right="40" w:firstLine="0"/>
              <w:rPr>
                <w:sz w:val="18"/>
                <w:szCs w:val="18"/>
              </w:rPr>
            </w:pPr>
            <w:r>
              <w:rPr>
                <w:sz w:val="18"/>
                <w:szCs w:val="18"/>
              </w:rPr>
              <w:t>Following a period of growth in 2009, holiday trips to the seaside (nationally) have reduced back to pre-recession levels.</w:t>
            </w:r>
          </w:p>
        </w:tc>
      </w:tr>
      <w:tr w:rsidR="00C66A67" w:rsidTr="003A0984">
        <w:tc>
          <w:tcPr>
            <w:tcW w:w="6833" w:type="dxa"/>
            <w:shd w:val="clear" w:color="auto" w:fill="E5DFEC" w:themeFill="accent4" w:themeFillTint="33"/>
          </w:tcPr>
          <w:p w:rsidR="00C66A67" w:rsidRPr="008A42F2" w:rsidRDefault="00C66A67" w:rsidP="003A0984">
            <w:pPr>
              <w:pStyle w:val="normalnumbered"/>
              <w:tabs>
                <w:tab w:val="clear" w:pos="2666"/>
              </w:tabs>
              <w:spacing w:after="120" w:line="240" w:lineRule="auto"/>
              <w:ind w:left="0" w:right="40" w:firstLine="0"/>
              <w:jc w:val="center"/>
              <w:rPr>
                <w:color w:val="6C2768"/>
                <w:sz w:val="18"/>
                <w:szCs w:val="18"/>
              </w:rPr>
            </w:pPr>
            <w:r w:rsidRPr="008A42F2">
              <w:rPr>
                <w:b/>
                <w:color w:val="6C2768"/>
                <w:sz w:val="18"/>
                <w:szCs w:val="18"/>
              </w:rPr>
              <w:t>Urban tourism</w:t>
            </w:r>
            <w:r w:rsidRPr="008A42F2">
              <w:rPr>
                <w:rStyle w:val="FootnoteReference"/>
                <w:b/>
                <w:color w:val="6C2768"/>
                <w:sz w:val="18"/>
                <w:szCs w:val="18"/>
              </w:rPr>
              <w:footnoteReference w:id="14"/>
            </w:r>
          </w:p>
          <w:p w:rsidR="00C66A67" w:rsidRDefault="00C66A67" w:rsidP="003A0984">
            <w:pPr>
              <w:pStyle w:val="normalnumbered"/>
              <w:tabs>
                <w:tab w:val="clear" w:pos="2666"/>
              </w:tabs>
              <w:spacing w:before="0" w:after="120" w:line="240" w:lineRule="auto"/>
              <w:ind w:left="0" w:right="40" w:firstLine="0"/>
              <w:rPr>
                <w:sz w:val="18"/>
                <w:szCs w:val="18"/>
              </w:rPr>
            </w:pPr>
            <w:r>
              <w:rPr>
                <w:sz w:val="18"/>
                <w:szCs w:val="18"/>
              </w:rPr>
              <w:t>Urban areas make up 31% of domestic overnight trips for holiday purposes and</w:t>
            </w:r>
            <w:r w:rsidR="005968F0">
              <w:rPr>
                <w:sz w:val="18"/>
                <w:szCs w:val="18"/>
              </w:rPr>
              <w:t>,</w:t>
            </w:r>
            <w:r>
              <w:rPr>
                <w:sz w:val="18"/>
                <w:szCs w:val="18"/>
              </w:rPr>
              <w:t xml:space="preserve"> whilst numbers peak during the summer months</w:t>
            </w:r>
            <w:r w:rsidR="005968F0">
              <w:rPr>
                <w:sz w:val="18"/>
                <w:szCs w:val="18"/>
              </w:rPr>
              <w:t>,</w:t>
            </w:r>
            <w:r>
              <w:rPr>
                <w:sz w:val="18"/>
                <w:szCs w:val="18"/>
              </w:rPr>
              <w:t xml:space="preserve"> they occur all year round.  Overnight trips to urban areas have been growing steadily since 2007.</w:t>
            </w:r>
          </w:p>
          <w:p w:rsidR="00C66A67" w:rsidRDefault="00C66A67" w:rsidP="003A0984">
            <w:pPr>
              <w:pStyle w:val="normalnumbered"/>
              <w:tabs>
                <w:tab w:val="clear" w:pos="2666"/>
              </w:tabs>
              <w:spacing w:before="0" w:after="120" w:line="240" w:lineRule="auto"/>
              <w:ind w:left="0" w:right="40" w:firstLine="0"/>
              <w:rPr>
                <w:sz w:val="18"/>
                <w:szCs w:val="18"/>
              </w:rPr>
            </w:pPr>
            <w:r>
              <w:rPr>
                <w:sz w:val="18"/>
                <w:szCs w:val="18"/>
              </w:rPr>
              <w:t>Relative to other domestic trips, urban stays more commonly involve adults only, are shorter and involve train travel and hotel stays.</w:t>
            </w:r>
          </w:p>
          <w:p w:rsidR="00C66A67" w:rsidRPr="00971220" w:rsidRDefault="005D26D0" w:rsidP="005D26D0">
            <w:pPr>
              <w:pStyle w:val="normalnumbered"/>
              <w:tabs>
                <w:tab w:val="clear" w:pos="2666"/>
              </w:tabs>
              <w:spacing w:before="0" w:after="120" w:line="240" w:lineRule="auto"/>
              <w:ind w:left="0" w:right="40" w:firstLine="0"/>
              <w:rPr>
                <w:sz w:val="18"/>
                <w:szCs w:val="18"/>
              </w:rPr>
            </w:pPr>
            <w:r>
              <w:rPr>
                <w:sz w:val="18"/>
                <w:szCs w:val="18"/>
              </w:rPr>
              <w:t>Locations in Lancashire do</w:t>
            </w:r>
            <w:r w:rsidR="00C66A67">
              <w:rPr>
                <w:sz w:val="18"/>
                <w:szCs w:val="18"/>
              </w:rPr>
              <w:t xml:space="preserve"> not </w:t>
            </w:r>
            <w:r>
              <w:rPr>
                <w:sz w:val="18"/>
                <w:szCs w:val="18"/>
              </w:rPr>
              <w:t xml:space="preserve">currently </w:t>
            </w:r>
            <w:r w:rsidR="00C66A67">
              <w:rPr>
                <w:sz w:val="18"/>
                <w:szCs w:val="18"/>
              </w:rPr>
              <w:t xml:space="preserve">feature in the top 10 destinations for urban tourism (the top three are London, Manchester and York). </w:t>
            </w:r>
          </w:p>
        </w:tc>
      </w:tr>
      <w:tr w:rsidR="00C66A67" w:rsidTr="003A0984">
        <w:tc>
          <w:tcPr>
            <w:tcW w:w="6833" w:type="dxa"/>
            <w:shd w:val="clear" w:color="auto" w:fill="E5DFEC" w:themeFill="accent4" w:themeFillTint="33"/>
          </w:tcPr>
          <w:p w:rsidR="00C66A67" w:rsidRPr="008A42F2" w:rsidRDefault="00C66A67" w:rsidP="003A0984">
            <w:pPr>
              <w:pStyle w:val="normalnumbered"/>
              <w:tabs>
                <w:tab w:val="clear" w:pos="2666"/>
              </w:tabs>
              <w:spacing w:after="120" w:line="240" w:lineRule="auto"/>
              <w:ind w:left="0" w:right="40" w:firstLine="0"/>
              <w:jc w:val="center"/>
              <w:rPr>
                <w:color w:val="6C2768"/>
                <w:sz w:val="18"/>
                <w:szCs w:val="18"/>
              </w:rPr>
            </w:pPr>
            <w:r w:rsidRPr="008A42F2">
              <w:rPr>
                <w:b/>
                <w:color w:val="6C2768"/>
                <w:sz w:val="18"/>
                <w:szCs w:val="18"/>
              </w:rPr>
              <w:t>Rural tourism</w:t>
            </w:r>
            <w:r w:rsidRPr="008A42F2">
              <w:rPr>
                <w:rStyle w:val="FootnoteReference"/>
                <w:b/>
                <w:color w:val="6C2768"/>
                <w:sz w:val="18"/>
                <w:szCs w:val="18"/>
              </w:rPr>
              <w:footnoteReference w:id="15"/>
            </w:r>
          </w:p>
          <w:p w:rsidR="00C66A67" w:rsidRDefault="00C66A67" w:rsidP="003A0984">
            <w:pPr>
              <w:pStyle w:val="normalnumbered"/>
              <w:tabs>
                <w:tab w:val="clear" w:pos="2666"/>
              </w:tabs>
              <w:spacing w:before="0" w:after="120" w:line="240" w:lineRule="auto"/>
              <w:ind w:left="0" w:right="40" w:firstLine="0"/>
              <w:rPr>
                <w:sz w:val="18"/>
                <w:szCs w:val="18"/>
              </w:rPr>
            </w:pPr>
            <w:r>
              <w:rPr>
                <w:sz w:val="18"/>
                <w:szCs w:val="18"/>
              </w:rPr>
              <w:t>Trips to the countryside account for 22% of domestic overnight trips.  Almost three quarters of rural stays occur in spring and summer.</w:t>
            </w:r>
          </w:p>
          <w:p w:rsidR="00C66A67" w:rsidRPr="00AC4972" w:rsidRDefault="00C66A67" w:rsidP="003A0984">
            <w:pPr>
              <w:pStyle w:val="normalnumbered"/>
              <w:tabs>
                <w:tab w:val="clear" w:pos="2666"/>
              </w:tabs>
              <w:spacing w:before="0" w:after="120" w:line="240" w:lineRule="auto"/>
              <w:ind w:left="0" w:right="40" w:firstLine="0"/>
              <w:rPr>
                <w:sz w:val="18"/>
                <w:szCs w:val="18"/>
              </w:rPr>
            </w:pPr>
            <w:r>
              <w:rPr>
                <w:sz w:val="18"/>
                <w:szCs w:val="18"/>
              </w:rPr>
              <w:t xml:space="preserve">Countryside trips tend to be by car and involve a higher than average proportion of people in the upper social grades. Countryside trips have remained relatively stable and continue to be above pre-recession levels.  </w:t>
            </w:r>
          </w:p>
        </w:tc>
      </w:tr>
    </w:tbl>
    <w:p w:rsidR="00C66A67" w:rsidRPr="00853FC4"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sidRPr="00B93963">
        <w:rPr>
          <w:sz w:val="18"/>
          <w:szCs w:val="18"/>
        </w:rPr>
        <w:lastRenderedPageBreak/>
        <w:t xml:space="preserve">Accommodation occupancy rates across England </w:t>
      </w:r>
      <w:r>
        <w:rPr>
          <w:sz w:val="18"/>
          <w:szCs w:val="18"/>
        </w:rPr>
        <w:t>continue to increase, both at weekends and during the week (a year on year increase has been observed in both categories over the past four years)</w:t>
      </w:r>
      <w:r w:rsidRPr="00B93963">
        <w:rPr>
          <w:sz w:val="18"/>
          <w:szCs w:val="18"/>
        </w:rPr>
        <w:t xml:space="preserve">. </w:t>
      </w:r>
      <w:r>
        <w:rPr>
          <w:sz w:val="18"/>
          <w:szCs w:val="18"/>
        </w:rPr>
        <w:t xml:space="preserve"> </w:t>
      </w:r>
      <w:r w:rsidRPr="00B93963">
        <w:rPr>
          <w:sz w:val="18"/>
          <w:szCs w:val="18"/>
        </w:rPr>
        <w:t xml:space="preserve">The decade from 2003 to 2013 also </w:t>
      </w:r>
      <w:r>
        <w:rPr>
          <w:sz w:val="18"/>
          <w:szCs w:val="18"/>
        </w:rPr>
        <w:t>saw</w:t>
      </w:r>
      <w:r w:rsidRPr="00B93963">
        <w:rPr>
          <w:sz w:val="18"/>
          <w:szCs w:val="18"/>
        </w:rPr>
        <w:t xml:space="preserve"> considerable increases </w:t>
      </w:r>
      <w:r>
        <w:rPr>
          <w:sz w:val="18"/>
          <w:szCs w:val="18"/>
        </w:rPr>
        <w:t>in</w:t>
      </w:r>
      <w:r w:rsidRPr="00B93963">
        <w:rPr>
          <w:sz w:val="18"/>
          <w:szCs w:val="18"/>
        </w:rPr>
        <w:t xml:space="preserve"> hotel stock</w:t>
      </w:r>
      <w:r w:rsidR="005D26D0">
        <w:rPr>
          <w:sz w:val="18"/>
          <w:szCs w:val="18"/>
        </w:rPr>
        <w:t>,</w:t>
      </w:r>
      <w:r w:rsidRPr="00B93963">
        <w:rPr>
          <w:sz w:val="18"/>
          <w:szCs w:val="18"/>
        </w:rPr>
        <w:t xml:space="preserve"> with investment of £13bn supporting the creation of 106,380 new rooms</w:t>
      </w:r>
      <w:r w:rsidR="005968F0">
        <w:rPr>
          <w:sz w:val="18"/>
          <w:szCs w:val="18"/>
        </w:rPr>
        <w:t xml:space="preserve">.  This represents a </w:t>
      </w:r>
      <w:r w:rsidRPr="00B93963">
        <w:rPr>
          <w:sz w:val="18"/>
          <w:szCs w:val="18"/>
        </w:rPr>
        <w:t xml:space="preserve">net addition of 66,000 </w:t>
      </w:r>
      <w:r w:rsidR="005968F0">
        <w:rPr>
          <w:sz w:val="18"/>
          <w:szCs w:val="18"/>
        </w:rPr>
        <w:t xml:space="preserve">rooms </w:t>
      </w:r>
      <w:r w:rsidRPr="00B93963">
        <w:rPr>
          <w:sz w:val="18"/>
          <w:szCs w:val="18"/>
        </w:rPr>
        <w:t>after accounting for closures</w:t>
      </w:r>
      <w:r>
        <w:rPr>
          <w:rStyle w:val="FootnoteReference"/>
          <w:sz w:val="18"/>
          <w:szCs w:val="18"/>
        </w:rPr>
        <w:footnoteReference w:id="16"/>
      </w:r>
      <w:r w:rsidRPr="00B93963">
        <w:rPr>
          <w:sz w:val="18"/>
          <w:szCs w:val="18"/>
        </w:rPr>
        <w:t xml:space="preserve">. </w:t>
      </w:r>
      <w:r w:rsidR="00937613">
        <w:rPr>
          <w:sz w:val="18"/>
          <w:szCs w:val="18"/>
        </w:rPr>
        <w:t xml:space="preserve"> </w:t>
      </w:r>
    </w:p>
    <w:p w:rsidR="00C66A67" w:rsidRPr="00B3366D" w:rsidRDefault="00C66A67" w:rsidP="00C66A67">
      <w:pPr>
        <w:pStyle w:val="normalnumbered"/>
        <w:tabs>
          <w:tab w:val="clear" w:pos="2666"/>
        </w:tabs>
        <w:spacing w:line="264" w:lineRule="auto"/>
        <w:ind w:left="0" w:right="40" w:firstLine="0"/>
        <w:rPr>
          <w:rFonts w:cs="Arial"/>
          <w:b/>
          <w:color w:val="660066"/>
          <w:sz w:val="22"/>
          <w:szCs w:val="22"/>
        </w:rPr>
      </w:pPr>
      <w:r>
        <w:rPr>
          <w:rFonts w:cs="Arial"/>
          <w:b/>
          <w:color w:val="660066"/>
          <w:sz w:val="22"/>
          <w:szCs w:val="22"/>
        </w:rPr>
        <w:t>Challenges and Opportunities</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 xml:space="preserve">At a national level, the visitor economy </w:t>
      </w:r>
      <w:r w:rsidR="005968F0">
        <w:rPr>
          <w:sz w:val="18"/>
          <w:szCs w:val="18"/>
        </w:rPr>
        <w:t>r</w:t>
      </w:r>
      <w:r>
        <w:rPr>
          <w:sz w:val="18"/>
          <w:szCs w:val="18"/>
        </w:rPr>
        <w:t>emained relatively strong during the economic downturn and</w:t>
      </w:r>
      <w:r w:rsidR="005968F0">
        <w:rPr>
          <w:sz w:val="18"/>
          <w:szCs w:val="18"/>
        </w:rPr>
        <w:t xml:space="preserve"> looks</w:t>
      </w:r>
      <w:r>
        <w:rPr>
          <w:sz w:val="18"/>
          <w:szCs w:val="18"/>
        </w:rPr>
        <w:t xml:space="preserve"> set to perform well during the next growth c</w:t>
      </w:r>
      <w:r w:rsidR="005968F0">
        <w:rPr>
          <w:sz w:val="18"/>
          <w:szCs w:val="18"/>
        </w:rPr>
        <w:t>ycle. Nonetheless, and as Visit</w:t>
      </w:r>
      <w:r>
        <w:rPr>
          <w:sz w:val="18"/>
          <w:szCs w:val="18"/>
        </w:rPr>
        <w:t>England notes</w:t>
      </w:r>
      <w:r w:rsidR="005D26D0">
        <w:rPr>
          <w:rStyle w:val="FootnoteReference"/>
          <w:sz w:val="18"/>
          <w:szCs w:val="18"/>
        </w:rPr>
        <w:footnoteReference w:id="17"/>
      </w:r>
      <w:r>
        <w:rPr>
          <w:sz w:val="18"/>
          <w:szCs w:val="18"/>
        </w:rPr>
        <w:t xml:space="preserve">, significant challenges remain.  Some of these are beyond the control of the visitor economy itself and include exchange rate fluctuations, international security and economic shocks.  Others can be influenced through national policy, local stakeholders and theme-specific plans such as this one.  They include:  </w:t>
      </w:r>
    </w:p>
    <w:p w:rsidR="00C66A67" w:rsidRPr="000A35D5"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0A35D5">
        <w:rPr>
          <w:rFonts w:ascii="Arial" w:hAnsi="Arial" w:cs="Arial"/>
          <w:sz w:val="18"/>
          <w:szCs w:val="18"/>
        </w:rPr>
        <w:t>Perceptions that overseas destinations offer better value for money</w:t>
      </w:r>
      <w:r>
        <w:rPr>
          <w:rFonts w:ascii="Arial" w:hAnsi="Arial" w:cs="Arial"/>
          <w:sz w:val="18"/>
          <w:szCs w:val="18"/>
        </w:rPr>
        <w:t xml:space="preserve"> to UK holidaymakers</w:t>
      </w:r>
      <w:r w:rsidR="005968F0">
        <w:rPr>
          <w:rFonts w:ascii="Arial" w:hAnsi="Arial" w:cs="Arial"/>
          <w:sz w:val="18"/>
          <w:szCs w:val="18"/>
        </w:rPr>
        <w:t xml:space="preserve"> than domestic destinations</w:t>
      </w:r>
      <w:r>
        <w:rPr>
          <w:rFonts w:ascii="Arial" w:hAnsi="Arial" w:cs="Arial"/>
          <w:sz w:val="18"/>
          <w:szCs w:val="18"/>
        </w:rPr>
        <w:t xml:space="preserve">, in part due to the growth of low cost airlines. </w:t>
      </w:r>
      <w:r w:rsidRPr="000A35D5">
        <w:rPr>
          <w:rFonts w:ascii="Arial" w:hAnsi="Arial" w:cs="Arial"/>
          <w:sz w:val="18"/>
          <w:szCs w:val="18"/>
        </w:rPr>
        <w:t xml:space="preserve"> </w:t>
      </w:r>
    </w:p>
    <w:p w:rsidR="00C66A67" w:rsidRPr="000A35D5"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0A35D5">
        <w:rPr>
          <w:rFonts w:ascii="Arial" w:hAnsi="Arial" w:cs="Arial"/>
          <w:sz w:val="18"/>
          <w:szCs w:val="18"/>
        </w:rPr>
        <w:t xml:space="preserve">Limited knowledge about the breadth and quality of the </w:t>
      </w:r>
      <w:r>
        <w:rPr>
          <w:rFonts w:ascii="Arial" w:hAnsi="Arial" w:cs="Arial"/>
          <w:sz w:val="18"/>
          <w:szCs w:val="18"/>
        </w:rPr>
        <w:t>domestic visitor economy offer (a</w:t>
      </w:r>
      <w:r w:rsidRPr="000A35D5">
        <w:rPr>
          <w:rFonts w:ascii="Arial" w:hAnsi="Arial" w:cs="Arial"/>
          <w:sz w:val="18"/>
          <w:szCs w:val="18"/>
        </w:rPr>
        <w:t xml:space="preserve">s covered </w:t>
      </w:r>
      <w:r w:rsidR="005968F0">
        <w:rPr>
          <w:rFonts w:ascii="Arial" w:hAnsi="Arial" w:cs="Arial"/>
          <w:sz w:val="18"/>
          <w:szCs w:val="18"/>
        </w:rPr>
        <w:t>later in this document</w:t>
      </w:r>
      <w:r>
        <w:rPr>
          <w:rFonts w:ascii="Arial" w:hAnsi="Arial" w:cs="Arial"/>
          <w:sz w:val="18"/>
          <w:szCs w:val="18"/>
        </w:rPr>
        <w:t>, t</w:t>
      </w:r>
      <w:r w:rsidRPr="000A35D5">
        <w:rPr>
          <w:rFonts w:ascii="Arial" w:hAnsi="Arial" w:cs="Arial"/>
          <w:sz w:val="18"/>
          <w:szCs w:val="18"/>
        </w:rPr>
        <w:t xml:space="preserve">his extends to and influences the perceptions that </w:t>
      </w:r>
      <w:r>
        <w:rPr>
          <w:rFonts w:ascii="Arial" w:hAnsi="Arial" w:cs="Arial"/>
          <w:sz w:val="18"/>
          <w:szCs w:val="18"/>
        </w:rPr>
        <w:t xml:space="preserve">young people and their parents </w:t>
      </w:r>
      <w:r w:rsidRPr="000A35D5">
        <w:rPr>
          <w:rFonts w:ascii="Arial" w:hAnsi="Arial" w:cs="Arial"/>
          <w:sz w:val="18"/>
          <w:szCs w:val="18"/>
        </w:rPr>
        <w:t>have of job and career</w:t>
      </w:r>
      <w:r w:rsidR="005968F0">
        <w:rPr>
          <w:rFonts w:ascii="Arial" w:hAnsi="Arial" w:cs="Arial"/>
          <w:sz w:val="18"/>
          <w:szCs w:val="18"/>
        </w:rPr>
        <w:t>s</w:t>
      </w:r>
      <w:r w:rsidRPr="000A35D5">
        <w:rPr>
          <w:rFonts w:ascii="Arial" w:hAnsi="Arial" w:cs="Arial"/>
          <w:sz w:val="18"/>
          <w:szCs w:val="18"/>
        </w:rPr>
        <w:t xml:space="preserve"> in the visitor economy</w:t>
      </w:r>
      <w:r>
        <w:rPr>
          <w:rFonts w:ascii="Arial" w:hAnsi="Arial" w:cs="Arial"/>
          <w:sz w:val="18"/>
          <w:szCs w:val="18"/>
        </w:rPr>
        <w:t>)</w:t>
      </w:r>
      <w:r w:rsidRPr="000A35D5">
        <w:rPr>
          <w:rFonts w:ascii="Arial" w:hAnsi="Arial" w:cs="Arial"/>
          <w:sz w:val="18"/>
          <w:szCs w:val="18"/>
        </w:rPr>
        <w:t xml:space="preserve">.  </w:t>
      </w:r>
    </w:p>
    <w:p w:rsidR="00C66A67" w:rsidRPr="000A35D5" w:rsidRDefault="005968F0"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Difficulties in a</w:t>
      </w:r>
      <w:r w:rsidR="00C66A67" w:rsidRPr="000A35D5">
        <w:rPr>
          <w:rFonts w:ascii="Arial" w:hAnsi="Arial" w:cs="Arial"/>
          <w:sz w:val="18"/>
          <w:szCs w:val="18"/>
        </w:rPr>
        <w:t>ttracting, retaining and motivating staff to work in the sector</w:t>
      </w:r>
      <w:r>
        <w:rPr>
          <w:rFonts w:ascii="Arial" w:hAnsi="Arial" w:cs="Arial"/>
          <w:sz w:val="18"/>
          <w:szCs w:val="18"/>
        </w:rPr>
        <w:t>.  This i</w:t>
      </w:r>
      <w:r w:rsidR="00C66A67" w:rsidRPr="000A35D5">
        <w:rPr>
          <w:rFonts w:ascii="Arial" w:hAnsi="Arial" w:cs="Arial"/>
          <w:sz w:val="18"/>
          <w:szCs w:val="18"/>
        </w:rPr>
        <w:t xml:space="preserve">s linked to the above point and </w:t>
      </w:r>
      <w:r w:rsidR="00C66A67">
        <w:rPr>
          <w:rFonts w:ascii="Arial" w:hAnsi="Arial" w:cs="Arial"/>
          <w:sz w:val="18"/>
          <w:szCs w:val="18"/>
        </w:rPr>
        <w:t>h</w:t>
      </w:r>
      <w:r w:rsidR="00C66A67" w:rsidRPr="000A35D5">
        <w:rPr>
          <w:rFonts w:ascii="Arial" w:hAnsi="Arial" w:cs="Arial"/>
          <w:sz w:val="18"/>
          <w:szCs w:val="18"/>
        </w:rPr>
        <w:t xml:space="preserve">as </w:t>
      </w:r>
      <w:r w:rsidR="00C66A67">
        <w:rPr>
          <w:rFonts w:ascii="Arial" w:hAnsi="Arial" w:cs="Arial"/>
          <w:sz w:val="18"/>
          <w:szCs w:val="18"/>
        </w:rPr>
        <w:t xml:space="preserve">been a consistent </w:t>
      </w:r>
      <w:r w:rsidR="00C66A67" w:rsidRPr="000A35D5">
        <w:rPr>
          <w:rFonts w:ascii="Arial" w:hAnsi="Arial" w:cs="Arial"/>
          <w:sz w:val="18"/>
          <w:szCs w:val="18"/>
        </w:rPr>
        <w:t xml:space="preserve">message emerging from the primary research </w:t>
      </w:r>
      <w:r w:rsidR="00C66A67">
        <w:rPr>
          <w:rFonts w:ascii="Arial" w:hAnsi="Arial" w:cs="Arial"/>
          <w:sz w:val="18"/>
          <w:szCs w:val="18"/>
        </w:rPr>
        <w:t xml:space="preserve">undertaken </w:t>
      </w:r>
      <w:r w:rsidR="00C66A67" w:rsidRPr="000A35D5">
        <w:rPr>
          <w:rFonts w:ascii="Arial" w:hAnsi="Arial" w:cs="Arial"/>
          <w:sz w:val="18"/>
          <w:szCs w:val="18"/>
        </w:rPr>
        <w:t xml:space="preserve">with employers for </w:t>
      </w:r>
      <w:r w:rsidR="00C66A67">
        <w:rPr>
          <w:rFonts w:ascii="Arial" w:hAnsi="Arial" w:cs="Arial"/>
          <w:sz w:val="18"/>
          <w:szCs w:val="18"/>
        </w:rPr>
        <w:t>th</w:t>
      </w:r>
      <w:r>
        <w:rPr>
          <w:rFonts w:ascii="Arial" w:hAnsi="Arial" w:cs="Arial"/>
          <w:sz w:val="18"/>
          <w:szCs w:val="18"/>
        </w:rPr>
        <w:t xml:space="preserve">is plan.  </w:t>
      </w:r>
    </w:p>
    <w:p w:rsidR="00C66A67"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F5E0B">
        <w:rPr>
          <w:rFonts w:ascii="Arial" w:hAnsi="Arial" w:cs="Arial"/>
          <w:sz w:val="18"/>
          <w:szCs w:val="18"/>
        </w:rPr>
        <w:t xml:space="preserve">An over-stretched transport infrastructure which can impact negatively on the visitor experience, especially during high season.  </w:t>
      </w:r>
    </w:p>
    <w:p w:rsidR="00C66A67" w:rsidRPr="008F5E0B"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F5E0B">
        <w:rPr>
          <w:rFonts w:ascii="Arial" w:hAnsi="Arial" w:cs="Arial"/>
          <w:sz w:val="18"/>
          <w:szCs w:val="18"/>
        </w:rPr>
        <w:t xml:space="preserve">Inconsistent broadband coverage which </w:t>
      </w:r>
      <w:r>
        <w:rPr>
          <w:rFonts w:ascii="Arial" w:hAnsi="Arial" w:cs="Arial"/>
          <w:sz w:val="18"/>
          <w:szCs w:val="18"/>
        </w:rPr>
        <w:t>can impact</w:t>
      </w:r>
      <w:r w:rsidRPr="008F5E0B">
        <w:rPr>
          <w:rFonts w:ascii="Arial" w:hAnsi="Arial" w:cs="Arial"/>
          <w:sz w:val="18"/>
          <w:szCs w:val="18"/>
        </w:rPr>
        <w:t xml:space="preserve"> on </w:t>
      </w:r>
      <w:r>
        <w:rPr>
          <w:rFonts w:ascii="Arial" w:hAnsi="Arial" w:cs="Arial"/>
          <w:sz w:val="18"/>
          <w:szCs w:val="18"/>
        </w:rPr>
        <w:t xml:space="preserve">both </w:t>
      </w:r>
      <w:r w:rsidRPr="008F5E0B">
        <w:rPr>
          <w:rFonts w:ascii="Arial" w:hAnsi="Arial" w:cs="Arial"/>
          <w:sz w:val="18"/>
          <w:szCs w:val="18"/>
        </w:rPr>
        <w:t xml:space="preserve">business marketing and </w:t>
      </w:r>
      <w:r>
        <w:rPr>
          <w:rFonts w:ascii="Arial" w:hAnsi="Arial" w:cs="Arial"/>
          <w:sz w:val="18"/>
          <w:szCs w:val="18"/>
        </w:rPr>
        <w:t>the visitor e</w:t>
      </w:r>
      <w:r w:rsidRPr="008F5E0B">
        <w:rPr>
          <w:rFonts w:ascii="Arial" w:hAnsi="Arial" w:cs="Arial"/>
          <w:sz w:val="18"/>
          <w:szCs w:val="18"/>
        </w:rPr>
        <w:t>xperience.</w:t>
      </w:r>
    </w:p>
    <w:p w:rsidR="00C66A67" w:rsidRDefault="005968F0"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However, Visit</w:t>
      </w:r>
      <w:r w:rsidR="00C66A67">
        <w:rPr>
          <w:sz w:val="18"/>
          <w:szCs w:val="18"/>
        </w:rPr>
        <w:t xml:space="preserve">England also notes that there are new and potentially lucrative opportunities for employers in the sector, such as:  </w:t>
      </w:r>
    </w:p>
    <w:p w:rsidR="00C66A67" w:rsidRPr="000A35D5"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0A35D5">
        <w:rPr>
          <w:rFonts w:ascii="Arial" w:hAnsi="Arial" w:cs="Arial"/>
          <w:sz w:val="18"/>
          <w:szCs w:val="18"/>
        </w:rPr>
        <w:lastRenderedPageBreak/>
        <w:t xml:space="preserve">Growing senior markets: the baby boom generation </w:t>
      </w:r>
      <w:r>
        <w:rPr>
          <w:rFonts w:ascii="Arial" w:hAnsi="Arial" w:cs="Arial"/>
          <w:sz w:val="18"/>
          <w:szCs w:val="18"/>
        </w:rPr>
        <w:t xml:space="preserve">is </w:t>
      </w:r>
      <w:r w:rsidRPr="000A35D5">
        <w:rPr>
          <w:rFonts w:ascii="Arial" w:hAnsi="Arial" w:cs="Arial"/>
          <w:sz w:val="18"/>
          <w:szCs w:val="18"/>
        </w:rPr>
        <w:t>reaching retirement age</w:t>
      </w:r>
      <w:r>
        <w:rPr>
          <w:rFonts w:ascii="Arial" w:hAnsi="Arial" w:cs="Arial"/>
          <w:sz w:val="18"/>
          <w:szCs w:val="18"/>
        </w:rPr>
        <w:t xml:space="preserve"> and is </w:t>
      </w:r>
      <w:r w:rsidRPr="000A35D5">
        <w:rPr>
          <w:rFonts w:ascii="Arial" w:hAnsi="Arial" w:cs="Arial"/>
          <w:sz w:val="18"/>
          <w:szCs w:val="18"/>
        </w:rPr>
        <w:t>more leisure focused and affluent than previous generations</w:t>
      </w:r>
      <w:r>
        <w:rPr>
          <w:rFonts w:ascii="Arial" w:hAnsi="Arial" w:cs="Arial"/>
          <w:sz w:val="18"/>
          <w:szCs w:val="18"/>
        </w:rPr>
        <w:t xml:space="preserve">.  </w:t>
      </w:r>
      <w:r w:rsidRPr="000A35D5">
        <w:rPr>
          <w:rFonts w:ascii="Arial" w:hAnsi="Arial" w:cs="Arial"/>
          <w:sz w:val="18"/>
          <w:szCs w:val="18"/>
        </w:rPr>
        <w:t xml:space="preserve"> </w:t>
      </w:r>
      <w:r>
        <w:rPr>
          <w:rFonts w:ascii="Arial" w:hAnsi="Arial" w:cs="Arial"/>
          <w:sz w:val="18"/>
          <w:szCs w:val="18"/>
        </w:rPr>
        <w:t xml:space="preserve"> </w:t>
      </w:r>
    </w:p>
    <w:p w:rsidR="00C66A67" w:rsidRPr="000A35D5"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0A35D5">
        <w:rPr>
          <w:rFonts w:ascii="Arial" w:hAnsi="Arial" w:cs="Arial"/>
          <w:sz w:val="18"/>
          <w:szCs w:val="18"/>
        </w:rPr>
        <w:t xml:space="preserve">Demand from across the </w:t>
      </w:r>
      <w:r w:rsidR="005968F0">
        <w:rPr>
          <w:rFonts w:ascii="Arial" w:hAnsi="Arial" w:cs="Arial"/>
          <w:sz w:val="18"/>
          <w:szCs w:val="18"/>
        </w:rPr>
        <w:t xml:space="preserve">financial </w:t>
      </w:r>
      <w:r w:rsidRPr="000A35D5">
        <w:rPr>
          <w:rFonts w:ascii="Arial" w:hAnsi="Arial" w:cs="Arial"/>
          <w:sz w:val="18"/>
          <w:szCs w:val="18"/>
        </w:rPr>
        <w:t>spectrum (from budget to luxury markets)</w:t>
      </w:r>
      <w:r>
        <w:rPr>
          <w:rFonts w:ascii="Arial" w:hAnsi="Arial" w:cs="Arial"/>
          <w:sz w:val="18"/>
          <w:szCs w:val="18"/>
        </w:rPr>
        <w:t xml:space="preserve"> supported by growing numbers of multi-generational trips and increasing numbers of last minute short breaks</w:t>
      </w:r>
      <w:r w:rsidRPr="000A35D5">
        <w:rPr>
          <w:rFonts w:ascii="Arial" w:hAnsi="Arial" w:cs="Arial"/>
          <w:sz w:val="18"/>
          <w:szCs w:val="18"/>
        </w:rPr>
        <w:t xml:space="preserve">.    </w:t>
      </w:r>
    </w:p>
    <w:p w:rsidR="00C66A67" w:rsidRPr="000A35D5"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0A35D5">
        <w:rPr>
          <w:rFonts w:ascii="Arial" w:hAnsi="Arial" w:cs="Arial"/>
          <w:sz w:val="18"/>
          <w:szCs w:val="18"/>
        </w:rPr>
        <w:t>Greater opportunities for digital marketing and promotion (a topic that is revisited in</w:t>
      </w:r>
      <w:r>
        <w:rPr>
          <w:rFonts w:ascii="Arial" w:hAnsi="Arial" w:cs="Arial"/>
          <w:sz w:val="18"/>
          <w:szCs w:val="18"/>
        </w:rPr>
        <w:t xml:space="preserve"> Chapter </w:t>
      </w:r>
      <w:r w:rsidR="007E1190">
        <w:rPr>
          <w:rFonts w:ascii="Arial" w:hAnsi="Arial" w:cs="Arial"/>
          <w:sz w:val="18"/>
          <w:szCs w:val="18"/>
        </w:rPr>
        <w:t>Five</w:t>
      </w:r>
      <w:r w:rsidRPr="000A35D5">
        <w:rPr>
          <w:rFonts w:ascii="Arial" w:hAnsi="Arial" w:cs="Arial"/>
          <w:sz w:val="18"/>
          <w:szCs w:val="18"/>
        </w:rPr>
        <w:t xml:space="preserve">). </w:t>
      </w:r>
    </w:p>
    <w:p w:rsidR="00C66A67" w:rsidRPr="000A35D5"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 xml:space="preserve">Growing demand for engaging and </w:t>
      </w:r>
      <w:r w:rsidRPr="000A35D5">
        <w:rPr>
          <w:rFonts w:ascii="Arial" w:hAnsi="Arial" w:cs="Arial"/>
          <w:sz w:val="18"/>
          <w:szCs w:val="18"/>
        </w:rPr>
        <w:t>unique experiences</w:t>
      </w:r>
      <w:r w:rsidR="00570B2F">
        <w:rPr>
          <w:rFonts w:ascii="Arial" w:hAnsi="Arial" w:cs="Arial"/>
          <w:sz w:val="18"/>
          <w:szCs w:val="18"/>
        </w:rPr>
        <w:t>,</w:t>
      </w:r>
      <w:r w:rsidRPr="000A35D5">
        <w:rPr>
          <w:rFonts w:ascii="Arial" w:hAnsi="Arial" w:cs="Arial"/>
          <w:sz w:val="18"/>
          <w:szCs w:val="18"/>
        </w:rPr>
        <w:t xml:space="preserve"> including </w:t>
      </w:r>
      <w:r>
        <w:rPr>
          <w:rFonts w:ascii="Arial" w:hAnsi="Arial" w:cs="Arial"/>
          <w:sz w:val="18"/>
          <w:szCs w:val="18"/>
        </w:rPr>
        <w:t xml:space="preserve">activity holidays and ‘doing trips’.  </w:t>
      </w:r>
    </w:p>
    <w:p w:rsidR="00C66A67" w:rsidRDefault="00C66A67" w:rsidP="005968F0">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 xml:space="preserve">These challenges and opportunities have informed a refresh of the VisitEngland </w:t>
      </w:r>
      <w:r w:rsidRPr="005F670A">
        <w:rPr>
          <w:i/>
          <w:sz w:val="18"/>
          <w:szCs w:val="18"/>
        </w:rPr>
        <w:t>Strategic Framework for Tourism in England 2010-2020</w:t>
      </w:r>
      <w:r>
        <w:rPr>
          <w:sz w:val="18"/>
          <w:szCs w:val="18"/>
        </w:rPr>
        <w:t xml:space="preserve">, which identifies the five growth priorities listed below. All five of these, indirectly at least, have relevance to this action plan, </w:t>
      </w:r>
      <w:r w:rsidR="005968F0">
        <w:rPr>
          <w:sz w:val="18"/>
          <w:szCs w:val="18"/>
        </w:rPr>
        <w:t xml:space="preserve">although </w:t>
      </w:r>
      <w:r>
        <w:rPr>
          <w:sz w:val="18"/>
          <w:szCs w:val="18"/>
        </w:rPr>
        <w:t>priorities 2 and 4 are particularly significant.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3"/>
      </w:tblGrid>
      <w:tr w:rsidR="00C66A67" w:rsidRPr="00971220" w:rsidTr="003A0984">
        <w:tc>
          <w:tcPr>
            <w:tcW w:w="6663" w:type="dxa"/>
            <w:shd w:val="clear" w:color="auto" w:fill="E5DFEC" w:themeFill="accent4" w:themeFillTint="33"/>
            <w:vAlign w:val="center"/>
          </w:tcPr>
          <w:p w:rsidR="00C66A67" w:rsidRPr="00971220" w:rsidRDefault="00C66A67" w:rsidP="003A0984">
            <w:pPr>
              <w:pStyle w:val="normalnumbered"/>
              <w:numPr>
                <w:ilvl w:val="0"/>
                <w:numId w:val="13"/>
              </w:numPr>
              <w:spacing w:after="120" w:line="264" w:lineRule="auto"/>
              <w:ind w:left="318" w:right="40" w:hanging="284"/>
              <w:rPr>
                <w:sz w:val="18"/>
                <w:szCs w:val="18"/>
              </w:rPr>
            </w:pPr>
            <w:r>
              <w:rPr>
                <w:sz w:val="18"/>
                <w:szCs w:val="18"/>
              </w:rPr>
              <w:t>Investing in tourism products and experiences in line with market trends and strategic needs.</w:t>
            </w:r>
          </w:p>
        </w:tc>
      </w:tr>
      <w:tr w:rsidR="00C66A67" w:rsidRPr="00971220" w:rsidTr="003A0984">
        <w:tc>
          <w:tcPr>
            <w:tcW w:w="6663" w:type="dxa"/>
            <w:shd w:val="clear" w:color="auto" w:fill="E5DFEC" w:themeFill="accent4" w:themeFillTint="33"/>
          </w:tcPr>
          <w:p w:rsidR="00C66A67" w:rsidRDefault="00C66A67" w:rsidP="003A0984">
            <w:pPr>
              <w:pStyle w:val="normalnumbered"/>
              <w:numPr>
                <w:ilvl w:val="0"/>
                <w:numId w:val="13"/>
              </w:numPr>
              <w:spacing w:after="120" w:line="264" w:lineRule="auto"/>
              <w:ind w:left="318" w:right="40" w:hanging="284"/>
              <w:rPr>
                <w:sz w:val="18"/>
                <w:szCs w:val="18"/>
              </w:rPr>
            </w:pPr>
            <w:r>
              <w:rPr>
                <w:sz w:val="18"/>
                <w:szCs w:val="18"/>
              </w:rPr>
              <w:t>Attracting and retaining motivated people and developing their skills</w:t>
            </w:r>
            <w:r w:rsidRPr="00A52845">
              <w:rPr>
                <w:sz w:val="18"/>
                <w:szCs w:val="18"/>
              </w:rPr>
              <w:t>.</w:t>
            </w:r>
          </w:p>
        </w:tc>
      </w:tr>
      <w:tr w:rsidR="00C66A67" w:rsidRPr="00971220" w:rsidTr="003A0984">
        <w:tc>
          <w:tcPr>
            <w:tcW w:w="6663" w:type="dxa"/>
            <w:shd w:val="clear" w:color="auto" w:fill="E5DFEC" w:themeFill="accent4" w:themeFillTint="33"/>
          </w:tcPr>
          <w:p w:rsidR="00C66A67" w:rsidRDefault="00C66A67" w:rsidP="003A0984">
            <w:pPr>
              <w:pStyle w:val="normalnumbered"/>
              <w:numPr>
                <w:ilvl w:val="0"/>
                <w:numId w:val="13"/>
              </w:numPr>
              <w:spacing w:after="120" w:line="264" w:lineRule="auto"/>
              <w:ind w:left="318" w:right="40" w:hanging="284"/>
              <w:rPr>
                <w:sz w:val="18"/>
                <w:szCs w:val="18"/>
              </w:rPr>
            </w:pPr>
            <w:r>
              <w:rPr>
                <w:sz w:val="18"/>
                <w:szCs w:val="18"/>
              </w:rPr>
              <w:t>Increasing the visibility and understanding of England’s tourism offer</w:t>
            </w:r>
            <w:r w:rsidRPr="00A52845">
              <w:rPr>
                <w:sz w:val="18"/>
                <w:szCs w:val="18"/>
              </w:rPr>
              <w:t>.</w:t>
            </w:r>
          </w:p>
        </w:tc>
      </w:tr>
      <w:tr w:rsidR="00C66A67" w:rsidRPr="00971220" w:rsidTr="003A0984">
        <w:tc>
          <w:tcPr>
            <w:tcW w:w="6663" w:type="dxa"/>
            <w:shd w:val="clear" w:color="auto" w:fill="E5DFEC" w:themeFill="accent4" w:themeFillTint="33"/>
          </w:tcPr>
          <w:p w:rsidR="00C66A67" w:rsidRDefault="00C66A67" w:rsidP="003A0984">
            <w:pPr>
              <w:pStyle w:val="normalnumbered"/>
              <w:numPr>
                <w:ilvl w:val="0"/>
                <w:numId w:val="13"/>
              </w:numPr>
              <w:spacing w:after="120" w:line="264" w:lineRule="auto"/>
              <w:ind w:left="318" w:right="40" w:hanging="284"/>
              <w:rPr>
                <w:sz w:val="18"/>
                <w:szCs w:val="18"/>
              </w:rPr>
            </w:pPr>
            <w:r>
              <w:rPr>
                <w:sz w:val="18"/>
                <w:szCs w:val="18"/>
              </w:rPr>
              <w:t>Overcoming barriers to business competitiveness and investment</w:t>
            </w:r>
            <w:r w:rsidRPr="00A52845">
              <w:rPr>
                <w:sz w:val="18"/>
                <w:szCs w:val="18"/>
              </w:rPr>
              <w:t>.</w:t>
            </w:r>
          </w:p>
        </w:tc>
      </w:tr>
      <w:tr w:rsidR="00C66A67" w:rsidRPr="00971220" w:rsidTr="003A0984">
        <w:tc>
          <w:tcPr>
            <w:tcW w:w="6663" w:type="dxa"/>
            <w:shd w:val="clear" w:color="auto" w:fill="E5DFEC" w:themeFill="accent4" w:themeFillTint="33"/>
          </w:tcPr>
          <w:p w:rsidR="00C66A67" w:rsidRDefault="00C66A67" w:rsidP="003A0984">
            <w:pPr>
              <w:pStyle w:val="normalnumbered"/>
              <w:numPr>
                <w:ilvl w:val="0"/>
                <w:numId w:val="13"/>
              </w:numPr>
              <w:spacing w:after="120" w:line="264" w:lineRule="auto"/>
              <w:ind w:left="318" w:right="40" w:hanging="284"/>
              <w:rPr>
                <w:sz w:val="18"/>
                <w:szCs w:val="18"/>
              </w:rPr>
            </w:pPr>
            <w:r>
              <w:rPr>
                <w:sz w:val="18"/>
                <w:szCs w:val="18"/>
              </w:rPr>
              <w:t>Investing in the infrastructure and environment on which tourism relies</w:t>
            </w:r>
            <w:r w:rsidRPr="00A52845">
              <w:rPr>
                <w:sz w:val="18"/>
                <w:szCs w:val="18"/>
              </w:rPr>
              <w:t>.</w:t>
            </w:r>
          </w:p>
        </w:tc>
      </w:tr>
    </w:tbl>
    <w:p w:rsidR="00C66A67" w:rsidRPr="00D14630" w:rsidRDefault="00C66A67" w:rsidP="00C66A67">
      <w:pPr>
        <w:pStyle w:val="normalnumbered"/>
        <w:tabs>
          <w:tab w:val="clear" w:pos="2666"/>
        </w:tabs>
        <w:spacing w:after="120" w:line="264" w:lineRule="auto"/>
        <w:ind w:left="0" w:right="40" w:firstLine="0"/>
        <w:rPr>
          <w:sz w:val="2"/>
          <w:szCs w:val="2"/>
        </w:rPr>
      </w:pPr>
    </w:p>
    <w:p w:rsidR="00C66A67" w:rsidRPr="004F72F1"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A series of action p</w:t>
      </w:r>
      <w:r w:rsidRPr="00621319">
        <w:rPr>
          <w:sz w:val="18"/>
          <w:szCs w:val="18"/>
        </w:rPr>
        <w:t xml:space="preserve">lans </w:t>
      </w:r>
      <w:r>
        <w:rPr>
          <w:sz w:val="18"/>
          <w:szCs w:val="18"/>
        </w:rPr>
        <w:t>underpin the delivery of</w:t>
      </w:r>
      <w:r w:rsidRPr="00621319">
        <w:rPr>
          <w:sz w:val="18"/>
          <w:szCs w:val="18"/>
        </w:rPr>
        <w:t xml:space="preserve"> </w:t>
      </w:r>
      <w:r>
        <w:rPr>
          <w:sz w:val="18"/>
          <w:szCs w:val="18"/>
        </w:rPr>
        <w:t>the Strategic Framework. T</w:t>
      </w:r>
      <w:r w:rsidRPr="00621319">
        <w:rPr>
          <w:sz w:val="18"/>
          <w:szCs w:val="18"/>
        </w:rPr>
        <w:t xml:space="preserve">he Skills Action </w:t>
      </w:r>
      <w:r w:rsidR="005968F0">
        <w:rPr>
          <w:sz w:val="18"/>
          <w:szCs w:val="18"/>
        </w:rPr>
        <w:t>Plan</w:t>
      </w:r>
      <w:r>
        <w:rPr>
          <w:rStyle w:val="FootnoteReference"/>
          <w:sz w:val="18"/>
          <w:szCs w:val="18"/>
        </w:rPr>
        <w:footnoteReference w:id="18"/>
      </w:r>
      <w:r>
        <w:rPr>
          <w:sz w:val="18"/>
          <w:szCs w:val="18"/>
        </w:rPr>
        <w:t xml:space="preserve"> sets out the following vision and objectives, all of which are pertinent to the implementation of this visitor economy skills plan for Lancashire: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3"/>
      </w:tblGrid>
      <w:tr w:rsidR="00C66A67" w:rsidRPr="00971220" w:rsidTr="003A0984">
        <w:tc>
          <w:tcPr>
            <w:tcW w:w="6663" w:type="dxa"/>
            <w:shd w:val="clear" w:color="auto" w:fill="E5DFEC" w:themeFill="accent4" w:themeFillTint="33"/>
          </w:tcPr>
          <w:p w:rsidR="00C66A67" w:rsidRPr="004F72F1" w:rsidRDefault="00C66A67" w:rsidP="003A0984">
            <w:pPr>
              <w:pStyle w:val="normalnumbered"/>
              <w:tabs>
                <w:tab w:val="clear" w:pos="2666"/>
              </w:tabs>
              <w:spacing w:after="120" w:line="264" w:lineRule="auto"/>
              <w:ind w:left="0" w:right="40" w:firstLine="0"/>
              <w:rPr>
                <w:b/>
                <w:color w:val="6C2768"/>
                <w:sz w:val="18"/>
                <w:szCs w:val="18"/>
              </w:rPr>
            </w:pPr>
            <w:r w:rsidRPr="004F72F1">
              <w:rPr>
                <w:b/>
                <w:color w:val="6C2768"/>
                <w:sz w:val="18"/>
                <w:szCs w:val="18"/>
              </w:rPr>
              <w:lastRenderedPageBreak/>
              <w:t>Vision</w:t>
            </w:r>
          </w:p>
          <w:p w:rsidR="00C66A67" w:rsidRPr="00971220" w:rsidRDefault="00C66A67" w:rsidP="003A0984">
            <w:pPr>
              <w:pStyle w:val="normalnumbered"/>
              <w:tabs>
                <w:tab w:val="clear" w:pos="2666"/>
              </w:tabs>
              <w:spacing w:after="120" w:line="264" w:lineRule="auto"/>
              <w:ind w:left="0" w:right="40" w:firstLine="0"/>
              <w:rPr>
                <w:sz w:val="18"/>
                <w:szCs w:val="18"/>
              </w:rPr>
            </w:pPr>
            <w:r w:rsidRPr="004F72F1">
              <w:rPr>
                <w:sz w:val="18"/>
                <w:szCs w:val="18"/>
              </w:rPr>
              <w:t>To increase the productivity and performance of England’s tourism businesses through investing in the skills of the workforce, which will contribute to 5% growth, year on year, in the England tourism market by 2020.</w:t>
            </w:r>
          </w:p>
        </w:tc>
      </w:tr>
      <w:tr w:rsidR="00C66A67" w:rsidRPr="00971220" w:rsidTr="003A0984">
        <w:tc>
          <w:tcPr>
            <w:tcW w:w="6663" w:type="dxa"/>
            <w:shd w:val="clear" w:color="auto" w:fill="E5DFEC" w:themeFill="accent4" w:themeFillTint="33"/>
          </w:tcPr>
          <w:p w:rsidR="00C66A67" w:rsidRDefault="00C66A67" w:rsidP="003A0984">
            <w:pPr>
              <w:pStyle w:val="normalnumbered"/>
              <w:tabs>
                <w:tab w:val="clear" w:pos="2666"/>
              </w:tabs>
              <w:spacing w:after="120" w:line="264" w:lineRule="auto"/>
              <w:ind w:left="0" w:right="40" w:firstLine="0"/>
              <w:rPr>
                <w:sz w:val="18"/>
                <w:szCs w:val="18"/>
              </w:rPr>
            </w:pPr>
            <w:r w:rsidRPr="004F72F1">
              <w:rPr>
                <w:b/>
                <w:color w:val="6C2768"/>
                <w:sz w:val="18"/>
                <w:szCs w:val="18"/>
              </w:rPr>
              <w:t>Objectives</w:t>
            </w:r>
          </w:p>
        </w:tc>
      </w:tr>
      <w:tr w:rsidR="00C66A67" w:rsidRPr="00971220" w:rsidTr="003A0984">
        <w:tc>
          <w:tcPr>
            <w:tcW w:w="6663" w:type="dxa"/>
            <w:shd w:val="clear" w:color="auto" w:fill="E5DFEC" w:themeFill="accent4" w:themeFillTint="33"/>
          </w:tcPr>
          <w:p w:rsidR="00C66A67" w:rsidRPr="004F72F1" w:rsidRDefault="00C66A67" w:rsidP="003A0984">
            <w:pPr>
              <w:pStyle w:val="Default"/>
              <w:numPr>
                <w:ilvl w:val="0"/>
                <w:numId w:val="15"/>
              </w:numPr>
              <w:spacing w:before="120" w:after="120" w:line="264" w:lineRule="auto"/>
              <w:rPr>
                <w:sz w:val="18"/>
                <w:szCs w:val="18"/>
              </w:rPr>
            </w:pPr>
            <w:r w:rsidRPr="004F72F1">
              <w:rPr>
                <w:sz w:val="18"/>
                <w:szCs w:val="18"/>
              </w:rPr>
              <w:t xml:space="preserve">To motivate employers to improve performance through investing in the skills of their workforce. </w:t>
            </w:r>
          </w:p>
        </w:tc>
      </w:tr>
      <w:tr w:rsidR="00C66A67" w:rsidRPr="00971220" w:rsidTr="003A0984">
        <w:tc>
          <w:tcPr>
            <w:tcW w:w="6663" w:type="dxa"/>
            <w:shd w:val="clear" w:color="auto" w:fill="E5DFEC" w:themeFill="accent4" w:themeFillTint="33"/>
          </w:tcPr>
          <w:p w:rsidR="00C66A67" w:rsidRPr="004F72F1" w:rsidRDefault="00C66A67" w:rsidP="003A0984">
            <w:pPr>
              <w:pStyle w:val="Default"/>
              <w:numPr>
                <w:ilvl w:val="0"/>
                <w:numId w:val="15"/>
              </w:numPr>
              <w:spacing w:before="120" w:after="120" w:line="264" w:lineRule="auto"/>
              <w:rPr>
                <w:sz w:val="18"/>
                <w:szCs w:val="18"/>
              </w:rPr>
            </w:pPr>
            <w:r w:rsidRPr="004F72F1">
              <w:rPr>
                <w:sz w:val="18"/>
                <w:szCs w:val="18"/>
              </w:rPr>
              <w:t>To increase awareness of, and access to, the skills solutions and products t</w:t>
            </w:r>
            <w:r>
              <w:rPr>
                <w:sz w:val="18"/>
                <w:szCs w:val="18"/>
              </w:rPr>
              <w:t>hat are available to employers.</w:t>
            </w:r>
          </w:p>
        </w:tc>
      </w:tr>
      <w:tr w:rsidR="00C66A67" w:rsidRPr="00971220" w:rsidTr="003A0984">
        <w:tc>
          <w:tcPr>
            <w:tcW w:w="6663" w:type="dxa"/>
            <w:shd w:val="clear" w:color="auto" w:fill="E5DFEC" w:themeFill="accent4" w:themeFillTint="33"/>
          </w:tcPr>
          <w:p w:rsidR="00C66A67" w:rsidRPr="004F72F1" w:rsidRDefault="00C66A67" w:rsidP="003A0984">
            <w:pPr>
              <w:pStyle w:val="Default"/>
              <w:numPr>
                <w:ilvl w:val="0"/>
                <w:numId w:val="15"/>
              </w:numPr>
              <w:spacing w:before="120" w:after="120" w:line="264" w:lineRule="auto"/>
              <w:rPr>
                <w:sz w:val="18"/>
                <w:szCs w:val="18"/>
              </w:rPr>
            </w:pPr>
            <w:r w:rsidRPr="004F72F1">
              <w:rPr>
                <w:sz w:val="18"/>
                <w:szCs w:val="18"/>
              </w:rPr>
              <w:t>To raise s</w:t>
            </w:r>
            <w:r>
              <w:rPr>
                <w:sz w:val="18"/>
                <w:szCs w:val="18"/>
              </w:rPr>
              <w:t xml:space="preserve">kills levels in the sector by: </w:t>
            </w:r>
          </w:p>
          <w:p w:rsidR="00C66A67" w:rsidRPr="00D845E7" w:rsidRDefault="00C66A67" w:rsidP="00C66A67">
            <w:pPr>
              <w:pStyle w:val="Default"/>
              <w:numPr>
                <w:ilvl w:val="0"/>
                <w:numId w:val="20"/>
              </w:numPr>
              <w:spacing w:before="120" w:after="120" w:line="264" w:lineRule="auto"/>
              <w:rPr>
                <w:sz w:val="18"/>
                <w:szCs w:val="18"/>
              </w:rPr>
            </w:pPr>
            <w:r w:rsidRPr="004F72F1">
              <w:rPr>
                <w:sz w:val="18"/>
                <w:szCs w:val="18"/>
              </w:rPr>
              <w:t xml:space="preserve">Encouraging more people into the sector and ensuring they enter with the required skills. </w:t>
            </w:r>
          </w:p>
          <w:p w:rsidR="00C66A67" w:rsidRPr="004F72F1" w:rsidRDefault="00C66A67" w:rsidP="00C66A67">
            <w:pPr>
              <w:pStyle w:val="Default"/>
              <w:numPr>
                <w:ilvl w:val="0"/>
                <w:numId w:val="20"/>
              </w:numPr>
              <w:spacing w:before="120" w:after="120" w:line="264" w:lineRule="auto"/>
              <w:rPr>
                <w:sz w:val="18"/>
                <w:szCs w:val="18"/>
              </w:rPr>
            </w:pPr>
            <w:r w:rsidRPr="004F72F1">
              <w:rPr>
                <w:sz w:val="18"/>
                <w:szCs w:val="18"/>
              </w:rPr>
              <w:t xml:space="preserve">Improving customer service skills. </w:t>
            </w:r>
          </w:p>
          <w:p w:rsidR="00C66A67" w:rsidRPr="004F72F1" w:rsidRDefault="00C66A67" w:rsidP="00C66A67">
            <w:pPr>
              <w:pStyle w:val="Default"/>
              <w:numPr>
                <w:ilvl w:val="0"/>
                <w:numId w:val="20"/>
              </w:numPr>
              <w:spacing w:before="120" w:after="120" w:line="264" w:lineRule="auto"/>
              <w:rPr>
                <w:sz w:val="18"/>
                <w:szCs w:val="18"/>
              </w:rPr>
            </w:pPr>
            <w:r w:rsidRPr="004F72F1">
              <w:rPr>
                <w:sz w:val="18"/>
                <w:szCs w:val="18"/>
              </w:rPr>
              <w:t xml:space="preserve">Developing and supporting current and future managers and owner operators. </w:t>
            </w:r>
          </w:p>
        </w:tc>
      </w:tr>
    </w:tbl>
    <w:p w:rsidR="00C66A67" w:rsidRPr="00DB2C9A" w:rsidRDefault="00C66A67" w:rsidP="00C66A67">
      <w:pPr>
        <w:pStyle w:val="normalnumbered"/>
        <w:tabs>
          <w:tab w:val="clear" w:pos="2666"/>
          <w:tab w:val="num" w:pos="2240"/>
        </w:tabs>
        <w:spacing w:line="264" w:lineRule="auto"/>
        <w:ind w:left="0" w:right="40" w:firstLine="0"/>
        <w:rPr>
          <w:sz w:val="2"/>
          <w:szCs w:val="2"/>
        </w:rPr>
      </w:pP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In addition, t</w:t>
      </w:r>
      <w:r w:rsidRPr="00D55B4E">
        <w:rPr>
          <w:sz w:val="18"/>
          <w:szCs w:val="18"/>
        </w:rPr>
        <w:t>he Government</w:t>
      </w:r>
      <w:r>
        <w:rPr>
          <w:sz w:val="18"/>
          <w:szCs w:val="18"/>
        </w:rPr>
        <w:t>’s</w:t>
      </w:r>
      <w:r w:rsidRPr="00D55B4E">
        <w:rPr>
          <w:sz w:val="18"/>
          <w:szCs w:val="18"/>
        </w:rPr>
        <w:t xml:space="preserve"> Tourism Policy</w:t>
      </w:r>
      <w:r w:rsidR="005968F0">
        <w:rPr>
          <w:sz w:val="18"/>
          <w:szCs w:val="18"/>
        </w:rPr>
        <w:t>,</w:t>
      </w:r>
      <w:r w:rsidRPr="00D55B4E">
        <w:rPr>
          <w:sz w:val="18"/>
          <w:szCs w:val="18"/>
        </w:rPr>
        <w:t xml:space="preserve"> published in March 2011</w:t>
      </w:r>
      <w:r w:rsidR="005968F0">
        <w:rPr>
          <w:sz w:val="18"/>
          <w:szCs w:val="18"/>
        </w:rPr>
        <w:t>,</w:t>
      </w:r>
      <w:r w:rsidRPr="00D55B4E">
        <w:rPr>
          <w:sz w:val="18"/>
          <w:szCs w:val="18"/>
        </w:rPr>
        <w:t xml:space="preserve"> recognises the cross-cutting nature of tourism activity and the role it can play in achieving wider objectives. In its foreword,  the Prime Minister states: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3"/>
      </w:tblGrid>
      <w:tr w:rsidR="00C66A67" w:rsidRPr="00971220" w:rsidTr="003A0984">
        <w:tc>
          <w:tcPr>
            <w:tcW w:w="6663" w:type="dxa"/>
            <w:shd w:val="clear" w:color="auto" w:fill="B8CCE4" w:themeFill="accent1" w:themeFillTint="66"/>
          </w:tcPr>
          <w:p w:rsidR="00C66A67" w:rsidRPr="005B688F" w:rsidRDefault="00C66A67" w:rsidP="005968F0">
            <w:pPr>
              <w:pStyle w:val="normalnumbered"/>
              <w:tabs>
                <w:tab w:val="clear" w:pos="2666"/>
              </w:tabs>
              <w:spacing w:after="120" w:line="264" w:lineRule="auto"/>
              <w:ind w:left="175" w:right="176" w:firstLine="0"/>
              <w:rPr>
                <w:i/>
                <w:sz w:val="18"/>
                <w:szCs w:val="18"/>
              </w:rPr>
            </w:pPr>
            <w:r>
              <w:rPr>
                <w:i/>
                <w:sz w:val="18"/>
                <w:szCs w:val="18"/>
              </w:rPr>
              <w:t>“Our aim is clear</w:t>
            </w:r>
            <w:r w:rsidR="005968F0">
              <w:rPr>
                <w:i/>
                <w:sz w:val="18"/>
                <w:szCs w:val="18"/>
              </w:rPr>
              <w:t>:</w:t>
            </w:r>
            <w:r>
              <w:rPr>
                <w:i/>
                <w:sz w:val="18"/>
                <w:szCs w:val="18"/>
              </w:rPr>
              <w:t xml:space="preserve"> we want to take tourism in Britain to a whole new level and harness the huge potential this area holds to grow our economy….For the first time, Government has a tourism strategy that reaches right across Whitehall, looking at policies from a tourism perspective.”    </w:t>
            </w:r>
          </w:p>
        </w:tc>
      </w:tr>
    </w:tbl>
    <w:p w:rsidR="00C66A67" w:rsidRPr="00D14630" w:rsidRDefault="00C66A67" w:rsidP="00C66A67">
      <w:pPr>
        <w:pStyle w:val="normalnumbered"/>
        <w:tabs>
          <w:tab w:val="clear" w:pos="2666"/>
        </w:tabs>
        <w:spacing w:after="120" w:line="264" w:lineRule="auto"/>
        <w:ind w:left="0" w:right="40" w:firstLine="0"/>
        <w:rPr>
          <w:sz w:val="2"/>
          <w:szCs w:val="2"/>
        </w:rPr>
      </w:pP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The three aims within the strategy are to:</w:t>
      </w:r>
    </w:p>
    <w:p w:rsidR="00C66A67" w:rsidRPr="00717489"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D02A67">
        <w:rPr>
          <w:rFonts w:ascii="Arial" w:hAnsi="Arial" w:cs="Arial"/>
          <w:b/>
          <w:color w:val="6C2768"/>
          <w:sz w:val="18"/>
          <w:szCs w:val="18"/>
        </w:rPr>
        <w:t>Deliver a £100m campaign</w:t>
      </w:r>
      <w:r w:rsidR="005968F0">
        <w:rPr>
          <w:rFonts w:ascii="Arial" w:hAnsi="Arial" w:cs="Arial"/>
          <w:sz w:val="18"/>
          <w:szCs w:val="18"/>
        </w:rPr>
        <w:t>, co-funded by the G</w:t>
      </w:r>
      <w:r w:rsidRPr="00717489">
        <w:rPr>
          <w:rFonts w:ascii="Arial" w:hAnsi="Arial" w:cs="Arial"/>
          <w:sz w:val="18"/>
          <w:szCs w:val="18"/>
        </w:rPr>
        <w:t>overnm</w:t>
      </w:r>
      <w:r>
        <w:rPr>
          <w:rFonts w:ascii="Arial" w:hAnsi="Arial" w:cs="Arial"/>
          <w:sz w:val="18"/>
          <w:szCs w:val="18"/>
        </w:rPr>
        <w:t>ent and the private sector,</w:t>
      </w:r>
      <w:r w:rsidRPr="00717489">
        <w:rPr>
          <w:rFonts w:ascii="Arial" w:hAnsi="Arial" w:cs="Arial"/>
          <w:sz w:val="18"/>
          <w:szCs w:val="18"/>
        </w:rPr>
        <w:t xml:space="preserve"> to attract </w:t>
      </w:r>
      <w:r w:rsidR="009232EA">
        <w:rPr>
          <w:rFonts w:ascii="Arial" w:hAnsi="Arial" w:cs="Arial"/>
          <w:sz w:val="18"/>
          <w:szCs w:val="18"/>
        </w:rPr>
        <w:t xml:space="preserve">4 </w:t>
      </w:r>
      <w:r w:rsidRPr="00717489">
        <w:rPr>
          <w:rFonts w:ascii="Arial" w:hAnsi="Arial" w:cs="Arial"/>
          <w:sz w:val="18"/>
          <w:szCs w:val="18"/>
        </w:rPr>
        <w:t>million extra visitors to B</w:t>
      </w:r>
      <w:r>
        <w:rPr>
          <w:rFonts w:ascii="Arial" w:hAnsi="Arial" w:cs="Arial"/>
          <w:sz w:val="18"/>
          <w:szCs w:val="18"/>
        </w:rPr>
        <w:t xml:space="preserve">ritain over the next four years, resulting in additional spend of £2bn and the creation of </w:t>
      </w:r>
      <w:r w:rsidRPr="00717489">
        <w:rPr>
          <w:rFonts w:ascii="Arial" w:hAnsi="Arial" w:cs="Arial"/>
          <w:sz w:val="18"/>
          <w:szCs w:val="18"/>
        </w:rPr>
        <w:t>50,000 new jobs.</w:t>
      </w:r>
    </w:p>
    <w:p w:rsidR="00C66A67" w:rsidRPr="00717489"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D02A67">
        <w:rPr>
          <w:rFonts w:ascii="Arial" w:hAnsi="Arial" w:cs="Arial"/>
          <w:b/>
          <w:color w:val="6C2768"/>
          <w:sz w:val="18"/>
          <w:szCs w:val="18"/>
        </w:rPr>
        <w:lastRenderedPageBreak/>
        <w:t>Increase the proportion of UK residents who holiday in the UK to match those who holiday abroad each year</w:t>
      </w:r>
      <w:r w:rsidRPr="00717489">
        <w:rPr>
          <w:rFonts w:ascii="Arial" w:hAnsi="Arial" w:cs="Arial"/>
          <w:sz w:val="18"/>
          <w:szCs w:val="18"/>
        </w:rPr>
        <w:t xml:space="preserve">. For longer stays (four nights or more) this would mean 29% of </w:t>
      </w:r>
      <w:r>
        <w:rPr>
          <w:rFonts w:ascii="Arial" w:hAnsi="Arial" w:cs="Arial"/>
          <w:sz w:val="18"/>
          <w:szCs w:val="18"/>
        </w:rPr>
        <w:t xml:space="preserve">UK holidaymakers </w:t>
      </w:r>
      <w:r w:rsidRPr="00717489">
        <w:rPr>
          <w:rFonts w:ascii="Arial" w:hAnsi="Arial" w:cs="Arial"/>
          <w:sz w:val="18"/>
          <w:szCs w:val="18"/>
        </w:rPr>
        <w:t xml:space="preserve">holidaying in Britain rather than </w:t>
      </w:r>
      <w:r>
        <w:rPr>
          <w:rFonts w:ascii="Arial" w:hAnsi="Arial" w:cs="Arial"/>
          <w:sz w:val="18"/>
          <w:szCs w:val="18"/>
        </w:rPr>
        <w:t>the current level of 20%</w:t>
      </w:r>
      <w:r w:rsidRPr="00717489">
        <w:rPr>
          <w:rFonts w:ascii="Arial" w:hAnsi="Arial" w:cs="Arial"/>
          <w:sz w:val="18"/>
          <w:szCs w:val="18"/>
        </w:rPr>
        <w:t xml:space="preserve"> (</w:t>
      </w:r>
      <w:r>
        <w:rPr>
          <w:rFonts w:ascii="Arial" w:hAnsi="Arial" w:cs="Arial"/>
          <w:sz w:val="18"/>
          <w:szCs w:val="18"/>
        </w:rPr>
        <w:t xml:space="preserve">in doing so, this would generate an extra </w:t>
      </w:r>
      <w:r w:rsidRPr="00717489">
        <w:rPr>
          <w:rFonts w:ascii="Arial" w:hAnsi="Arial" w:cs="Arial"/>
          <w:sz w:val="18"/>
          <w:szCs w:val="18"/>
        </w:rPr>
        <w:t xml:space="preserve">£1.3bn </w:t>
      </w:r>
      <w:r>
        <w:rPr>
          <w:rFonts w:ascii="Arial" w:hAnsi="Arial" w:cs="Arial"/>
          <w:sz w:val="18"/>
          <w:szCs w:val="18"/>
        </w:rPr>
        <w:t>in domestic spend and create</w:t>
      </w:r>
      <w:r w:rsidRPr="00717489">
        <w:rPr>
          <w:rFonts w:ascii="Arial" w:hAnsi="Arial" w:cs="Arial"/>
          <w:sz w:val="18"/>
          <w:szCs w:val="18"/>
        </w:rPr>
        <w:t xml:space="preserve"> 26,000 new jobs). </w:t>
      </w:r>
      <w:r>
        <w:rPr>
          <w:rFonts w:ascii="Arial" w:hAnsi="Arial" w:cs="Arial"/>
          <w:sz w:val="18"/>
          <w:szCs w:val="18"/>
        </w:rPr>
        <w:t xml:space="preserve"> </w:t>
      </w:r>
    </w:p>
    <w:p w:rsidR="00C66A67" w:rsidRPr="00717489" w:rsidRDefault="00C66A67" w:rsidP="00C66A6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D02A67">
        <w:rPr>
          <w:rFonts w:ascii="Arial" w:hAnsi="Arial" w:cs="Arial"/>
          <w:b/>
          <w:color w:val="6C2768"/>
          <w:sz w:val="18"/>
          <w:szCs w:val="18"/>
        </w:rPr>
        <w:t>Improve the sector’s productivity</w:t>
      </w:r>
      <w:r w:rsidRPr="00717489">
        <w:rPr>
          <w:rFonts w:ascii="Arial" w:hAnsi="Arial" w:cs="Arial"/>
          <w:sz w:val="18"/>
          <w:szCs w:val="18"/>
        </w:rPr>
        <w:t xml:space="preserve"> to become one of the top five most efficient and competitive visitor economies in the world.</w:t>
      </w:r>
    </w:p>
    <w:p w:rsidR="0078738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 xml:space="preserve"> The priority being afforded to the visitor economy at a national level is significant for Lancashire, where stakeholders have a similarly ambitious outlook for their sector.  </w:t>
      </w:r>
      <w:r w:rsidR="00570B2F">
        <w:rPr>
          <w:sz w:val="18"/>
          <w:szCs w:val="18"/>
        </w:rPr>
        <w:t xml:space="preserve">This outlook, along with an overview of the </w:t>
      </w:r>
      <w:r w:rsidR="005968F0">
        <w:rPr>
          <w:sz w:val="18"/>
          <w:szCs w:val="18"/>
        </w:rPr>
        <w:t xml:space="preserve">Lancashire </w:t>
      </w:r>
      <w:r>
        <w:rPr>
          <w:sz w:val="18"/>
          <w:szCs w:val="18"/>
        </w:rPr>
        <w:t xml:space="preserve">visitor economy as </w:t>
      </w:r>
      <w:r w:rsidR="005D26D0">
        <w:rPr>
          <w:sz w:val="18"/>
          <w:szCs w:val="18"/>
        </w:rPr>
        <w:t>it is now,</w:t>
      </w:r>
      <w:r w:rsidR="00570B2F">
        <w:rPr>
          <w:sz w:val="18"/>
          <w:szCs w:val="18"/>
        </w:rPr>
        <w:t xml:space="preserve"> is described in Chapters </w:t>
      </w:r>
      <w:r w:rsidR="007E1190">
        <w:rPr>
          <w:sz w:val="18"/>
          <w:szCs w:val="18"/>
        </w:rPr>
        <w:t xml:space="preserve">Two and Three. </w:t>
      </w:r>
      <w:r w:rsidR="00570B2F">
        <w:rPr>
          <w:sz w:val="18"/>
          <w:szCs w:val="18"/>
        </w:rPr>
        <w:t xml:space="preserve"> </w:t>
      </w:r>
      <w:r w:rsidR="005D26D0">
        <w:rPr>
          <w:sz w:val="18"/>
          <w:szCs w:val="18"/>
        </w:rPr>
        <w:t xml:space="preserve"> </w:t>
      </w:r>
      <w:r w:rsidR="00570B2F">
        <w:rPr>
          <w:sz w:val="18"/>
          <w:szCs w:val="18"/>
        </w:rPr>
        <w:t xml:space="preserve"> </w:t>
      </w:r>
    </w:p>
    <w:p w:rsidR="00971925" w:rsidRDefault="00682865" w:rsidP="00BC2CD4">
      <w:pPr>
        <w:pStyle w:val="ListParagraph"/>
        <w:keepNext/>
        <w:pageBreakBefore/>
        <w:numPr>
          <w:ilvl w:val="0"/>
          <w:numId w:val="1"/>
        </w:numPr>
        <w:tabs>
          <w:tab w:val="clear" w:pos="1112"/>
          <w:tab w:val="num" w:pos="567"/>
        </w:tabs>
        <w:spacing w:before="240" w:after="240" w:line="360" w:lineRule="auto"/>
        <w:ind w:left="567" w:hanging="567"/>
        <w:jc w:val="both"/>
        <w:outlineLvl w:val="0"/>
        <w:rPr>
          <w:rFonts w:ascii="Arial" w:hAnsi="Arial" w:cs="Arial"/>
          <w:b/>
          <w:bCs/>
          <w:color w:val="6C2768"/>
          <w:kern w:val="32"/>
          <w:sz w:val="28"/>
          <w:szCs w:val="32"/>
          <w:lang w:eastAsia="en-GB"/>
        </w:rPr>
      </w:pPr>
      <w:bookmarkStart w:id="5" w:name="_Toc424128465"/>
      <w:r>
        <w:rPr>
          <w:rFonts w:ascii="Arial" w:hAnsi="Arial" w:cs="Arial"/>
          <w:b/>
          <w:bCs/>
          <w:color w:val="6C2768"/>
          <w:kern w:val="32"/>
          <w:sz w:val="28"/>
          <w:szCs w:val="32"/>
          <w:lang w:eastAsia="en-GB"/>
        </w:rPr>
        <w:lastRenderedPageBreak/>
        <w:t>Lancashire</w:t>
      </w:r>
      <w:r w:rsidR="008F44E1">
        <w:rPr>
          <w:rFonts w:ascii="Arial" w:hAnsi="Arial" w:cs="Arial"/>
          <w:b/>
          <w:bCs/>
          <w:color w:val="6C2768"/>
          <w:kern w:val="32"/>
          <w:sz w:val="28"/>
          <w:szCs w:val="32"/>
          <w:lang w:eastAsia="en-GB"/>
        </w:rPr>
        <w:t xml:space="preserve"> Today</w:t>
      </w:r>
      <w:bookmarkEnd w:id="5"/>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1DD" w:themeFill="accent3" w:themeFillTint="33"/>
        <w:tblLook w:val="04A0" w:firstRow="1" w:lastRow="0" w:firstColumn="1" w:lastColumn="0" w:noHBand="0" w:noVBand="1"/>
      </w:tblPr>
      <w:tblGrid>
        <w:gridCol w:w="6663"/>
      </w:tblGrid>
      <w:tr w:rsidR="00BA477C" w:rsidRPr="00971220" w:rsidTr="000A3998">
        <w:tc>
          <w:tcPr>
            <w:tcW w:w="6663" w:type="dxa"/>
            <w:shd w:val="clear" w:color="auto" w:fill="EAF1DD" w:themeFill="accent3" w:themeFillTint="33"/>
          </w:tcPr>
          <w:p w:rsidR="00BA477C" w:rsidRPr="00BA477C" w:rsidRDefault="00BA477C" w:rsidP="000A3998">
            <w:pPr>
              <w:pStyle w:val="normalnumbered"/>
              <w:tabs>
                <w:tab w:val="clear" w:pos="2666"/>
              </w:tabs>
              <w:spacing w:after="120" w:line="264" w:lineRule="auto"/>
              <w:ind w:right="176"/>
              <w:rPr>
                <w:b/>
                <w:color w:val="6C2768"/>
                <w:sz w:val="18"/>
                <w:szCs w:val="18"/>
              </w:rPr>
            </w:pPr>
            <w:bookmarkStart w:id="6" w:name="_Toc372119132"/>
            <w:bookmarkStart w:id="7" w:name="_Toc372570444"/>
            <w:bookmarkStart w:id="8" w:name="_Toc372639800"/>
            <w:bookmarkStart w:id="9" w:name="_Toc372651957"/>
            <w:bookmarkStart w:id="10" w:name="_Toc372667552"/>
            <w:bookmarkStart w:id="11" w:name="_Toc380653188"/>
            <w:bookmarkStart w:id="12" w:name="_Toc380761202"/>
            <w:bookmarkStart w:id="13" w:name="_Toc384294309"/>
            <w:bookmarkStart w:id="14" w:name="_Toc384294684"/>
            <w:bookmarkStart w:id="15" w:name="_Toc372570452"/>
            <w:bookmarkStart w:id="16" w:name="_Toc372639808"/>
            <w:bookmarkStart w:id="17" w:name="_Toc372651965"/>
            <w:bookmarkStart w:id="18" w:name="_Toc372667560"/>
            <w:bookmarkStart w:id="19" w:name="_Toc380653196"/>
            <w:bookmarkStart w:id="20" w:name="_Toc380761210"/>
            <w:bookmarkStart w:id="21" w:name="_Toc384294317"/>
            <w:bookmarkStart w:id="22" w:name="_Toc384294692"/>
            <w:bookmarkStart w:id="23" w:name="_Toc371963338"/>
            <w:bookmarkStart w:id="24" w:name="_Toc372119144"/>
            <w:r w:rsidRPr="00BA477C">
              <w:rPr>
                <w:b/>
                <w:color w:val="6C2768"/>
                <w:sz w:val="18"/>
                <w:szCs w:val="18"/>
              </w:rPr>
              <w:t>Summary of Key Points</w:t>
            </w:r>
          </w:p>
          <w:p w:rsidR="00BA477C" w:rsidRDefault="00BA477C" w:rsidP="000A3998">
            <w:pPr>
              <w:pStyle w:val="normalnumbered"/>
              <w:numPr>
                <w:ilvl w:val="0"/>
                <w:numId w:val="24"/>
              </w:numPr>
              <w:spacing w:after="120" w:line="264" w:lineRule="auto"/>
              <w:ind w:right="176"/>
              <w:rPr>
                <w:sz w:val="18"/>
                <w:szCs w:val="18"/>
              </w:rPr>
            </w:pPr>
            <w:r>
              <w:rPr>
                <w:sz w:val="18"/>
                <w:szCs w:val="18"/>
              </w:rPr>
              <w:t>Lancashire has a diverse and comprehensive visitor offer.  It includes Areas of Outstanding Natural Beauty (Forest of Bowland, Arnside and Silverdale), England’s most popular seaside destination (Blackpool) and a 137 mile coastline offering an array of visitor options.  It has a historic county town with impressive built heritage</w:t>
            </w:r>
            <w:r w:rsidR="0048464E">
              <w:rPr>
                <w:sz w:val="18"/>
                <w:szCs w:val="18"/>
              </w:rPr>
              <w:t xml:space="preserve"> (Lancaster)</w:t>
            </w:r>
            <w:r>
              <w:rPr>
                <w:sz w:val="18"/>
                <w:szCs w:val="18"/>
              </w:rPr>
              <w:t xml:space="preserve">, an administrative hub </w:t>
            </w:r>
            <w:r w:rsidR="0048464E">
              <w:rPr>
                <w:sz w:val="18"/>
                <w:szCs w:val="18"/>
              </w:rPr>
              <w:t xml:space="preserve">with </w:t>
            </w:r>
            <w:r>
              <w:rPr>
                <w:sz w:val="18"/>
                <w:szCs w:val="18"/>
              </w:rPr>
              <w:t>significant business tourism potential</w:t>
            </w:r>
            <w:r w:rsidR="0048464E">
              <w:rPr>
                <w:sz w:val="18"/>
                <w:szCs w:val="18"/>
              </w:rPr>
              <w:t xml:space="preserve"> (Preston)</w:t>
            </w:r>
            <w:r>
              <w:rPr>
                <w:sz w:val="18"/>
                <w:szCs w:val="18"/>
              </w:rPr>
              <w:t xml:space="preserve">, a growing events programme and outstanding businesses that are both award winning and very popular.  </w:t>
            </w:r>
          </w:p>
          <w:p w:rsidR="00BA477C" w:rsidRDefault="0041611E" w:rsidP="0041611E">
            <w:pPr>
              <w:pStyle w:val="normalnumbered"/>
              <w:numPr>
                <w:ilvl w:val="0"/>
                <w:numId w:val="24"/>
              </w:numPr>
              <w:spacing w:after="120" w:line="264" w:lineRule="auto"/>
              <w:ind w:right="176"/>
              <w:rPr>
                <w:sz w:val="18"/>
                <w:szCs w:val="18"/>
              </w:rPr>
            </w:pPr>
            <w:r w:rsidRPr="0041611E">
              <w:rPr>
                <w:sz w:val="18"/>
                <w:szCs w:val="18"/>
              </w:rPr>
              <w:t xml:space="preserve">Significant recent investments made by the county’s local authorities include </w:t>
            </w:r>
            <w:r w:rsidRPr="0041611E">
              <w:rPr>
                <w:rFonts w:cs="Arial"/>
                <w:sz w:val="18"/>
                <w:szCs w:val="18"/>
              </w:rPr>
              <w:t>£100m to create the new Blackpool tramway, £40m of public realm improvements in Preston town centre and £25m to improve the Cathedral Quarter in Blackburn</w:t>
            </w:r>
            <w:r>
              <w:rPr>
                <w:sz w:val="18"/>
                <w:szCs w:val="18"/>
              </w:rPr>
              <w:t xml:space="preserve">. Recent private sector investments have included </w:t>
            </w:r>
            <w:r w:rsidRPr="00DD7B71">
              <w:rPr>
                <w:sz w:val="18"/>
                <w:szCs w:val="18"/>
              </w:rPr>
              <w:t xml:space="preserve">£15m </w:t>
            </w:r>
            <w:r>
              <w:rPr>
                <w:sz w:val="18"/>
                <w:szCs w:val="18"/>
              </w:rPr>
              <w:t xml:space="preserve">to improve </w:t>
            </w:r>
            <w:r w:rsidRPr="00DD7B71">
              <w:rPr>
                <w:sz w:val="18"/>
                <w:szCs w:val="18"/>
              </w:rPr>
              <w:t>Blackpool Pleasure Beach</w:t>
            </w:r>
            <w:r>
              <w:rPr>
                <w:sz w:val="18"/>
                <w:szCs w:val="18"/>
              </w:rPr>
              <w:t xml:space="preserve"> and </w:t>
            </w:r>
            <w:r w:rsidRPr="00DD7B71">
              <w:rPr>
                <w:sz w:val="18"/>
                <w:szCs w:val="18"/>
              </w:rPr>
              <w:t xml:space="preserve">£3m </w:t>
            </w:r>
            <w:r>
              <w:rPr>
                <w:sz w:val="18"/>
                <w:szCs w:val="18"/>
              </w:rPr>
              <w:t xml:space="preserve">to develop a new Illuminasia experience. </w:t>
            </w:r>
            <w:r w:rsidRPr="00DD7B71">
              <w:rPr>
                <w:sz w:val="18"/>
                <w:szCs w:val="18"/>
              </w:rPr>
              <w:t xml:space="preserve">The county has </w:t>
            </w:r>
            <w:r>
              <w:rPr>
                <w:sz w:val="18"/>
                <w:szCs w:val="18"/>
              </w:rPr>
              <w:t xml:space="preserve">also </w:t>
            </w:r>
            <w:r w:rsidRPr="00DD7B71">
              <w:rPr>
                <w:sz w:val="18"/>
                <w:szCs w:val="18"/>
              </w:rPr>
              <w:t>been successful in securing investment from national funding programmes</w:t>
            </w:r>
            <w:r>
              <w:rPr>
                <w:sz w:val="18"/>
                <w:szCs w:val="18"/>
              </w:rPr>
              <w:t xml:space="preserve"> </w:t>
            </w:r>
            <w:r w:rsidR="0048464E">
              <w:rPr>
                <w:sz w:val="18"/>
                <w:szCs w:val="18"/>
              </w:rPr>
              <w:t>such as</w:t>
            </w:r>
            <w:r>
              <w:rPr>
                <w:sz w:val="18"/>
                <w:szCs w:val="18"/>
              </w:rPr>
              <w:t xml:space="preserve"> the Coastal Communities Fund, </w:t>
            </w:r>
            <w:r w:rsidR="0048464E">
              <w:rPr>
                <w:sz w:val="18"/>
                <w:szCs w:val="18"/>
              </w:rPr>
              <w:t xml:space="preserve">the </w:t>
            </w:r>
            <w:r>
              <w:rPr>
                <w:sz w:val="18"/>
                <w:szCs w:val="18"/>
              </w:rPr>
              <w:t xml:space="preserve">Heritage Lottery Fund and </w:t>
            </w:r>
            <w:r w:rsidR="0048464E">
              <w:rPr>
                <w:sz w:val="18"/>
                <w:szCs w:val="18"/>
              </w:rPr>
              <w:t xml:space="preserve">the </w:t>
            </w:r>
            <w:r>
              <w:rPr>
                <w:sz w:val="18"/>
                <w:szCs w:val="18"/>
              </w:rPr>
              <w:t xml:space="preserve">Sustainable Transport Fund. </w:t>
            </w:r>
          </w:p>
          <w:p w:rsidR="0048464E" w:rsidRDefault="0048464E" w:rsidP="0048464E">
            <w:pPr>
              <w:pStyle w:val="normalnumbered"/>
              <w:numPr>
                <w:ilvl w:val="0"/>
                <w:numId w:val="24"/>
              </w:numPr>
              <w:spacing w:after="120" w:line="264" w:lineRule="auto"/>
              <w:ind w:right="176"/>
              <w:rPr>
                <w:sz w:val="18"/>
                <w:szCs w:val="18"/>
              </w:rPr>
            </w:pPr>
            <w:r>
              <w:rPr>
                <w:sz w:val="18"/>
                <w:szCs w:val="18"/>
              </w:rPr>
              <w:t xml:space="preserve">Challenges for the visitor economy in Lancashire include the quantity, quality and variety of the accommodation stock in certain areas, a sub-optimal </w:t>
            </w:r>
            <w:r w:rsidRPr="0041611E">
              <w:rPr>
                <w:sz w:val="18"/>
                <w:szCs w:val="18"/>
              </w:rPr>
              <w:t xml:space="preserve">public transport and rural road infrastructure and a lack of profile, especially at the national level. </w:t>
            </w:r>
            <w:r>
              <w:rPr>
                <w:sz w:val="18"/>
                <w:szCs w:val="18"/>
              </w:rPr>
              <w:t xml:space="preserve">There is also a lack </w:t>
            </w:r>
            <w:r w:rsidRPr="0041611E">
              <w:rPr>
                <w:sz w:val="18"/>
                <w:szCs w:val="18"/>
              </w:rPr>
              <w:t>of clarity and a strong message about what the county has to offer to consumers</w:t>
            </w:r>
            <w:r>
              <w:rPr>
                <w:sz w:val="18"/>
                <w:szCs w:val="18"/>
              </w:rPr>
              <w:t xml:space="preserve">. </w:t>
            </w:r>
          </w:p>
          <w:p w:rsidR="00BA477C" w:rsidRPr="00BA477C" w:rsidRDefault="0041611E" w:rsidP="000A3998">
            <w:pPr>
              <w:pStyle w:val="normalnumbered"/>
              <w:numPr>
                <w:ilvl w:val="0"/>
                <w:numId w:val="24"/>
              </w:numPr>
              <w:spacing w:after="120" w:line="264" w:lineRule="auto"/>
              <w:ind w:right="176"/>
              <w:rPr>
                <w:sz w:val="18"/>
                <w:szCs w:val="18"/>
              </w:rPr>
            </w:pPr>
            <w:r>
              <w:rPr>
                <w:sz w:val="18"/>
                <w:szCs w:val="18"/>
              </w:rPr>
              <w:t xml:space="preserve">The vision for Lancashire, as defined in the forthcoming Visitor Economy Strategy, includes </w:t>
            </w:r>
            <w:r w:rsidRPr="003F520D">
              <w:rPr>
                <w:sz w:val="18"/>
                <w:szCs w:val="18"/>
              </w:rPr>
              <w:t>be</w:t>
            </w:r>
            <w:r>
              <w:rPr>
                <w:sz w:val="18"/>
                <w:szCs w:val="18"/>
              </w:rPr>
              <w:t>ing</w:t>
            </w:r>
            <w:r w:rsidRPr="003F520D">
              <w:rPr>
                <w:sz w:val="18"/>
                <w:szCs w:val="18"/>
              </w:rPr>
              <w:t xml:space="preserve"> recognised as one of the top 5 English counties for a refreshing and relaxing short break and an active family holiday</w:t>
            </w:r>
            <w:r>
              <w:rPr>
                <w:rFonts w:cs="Arial"/>
                <w:sz w:val="18"/>
                <w:szCs w:val="18"/>
              </w:rPr>
              <w:t xml:space="preserve">; </w:t>
            </w:r>
            <w:r>
              <w:rPr>
                <w:sz w:val="18"/>
                <w:szCs w:val="18"/>
              </w:rPr>
              <w:t>t</w:t>
            </w:r>
            <w:r w:rsidRPr="003F520D">
              <w:rPr>
                <w:sz w:val="18"/>
                <w:szCs w:val="18"/>
              </w:rPr>
              <w:t>o be known nationally as a culinary ‘must visit destination’</w:t>
            </w:r>
            <w:r>
              <w:rPr>
                <w:sz w:val="18"/>
                <w:szCs w:val="18"/>
              </w:rPr>
              <w:t xml:space="preserve">; and to be </w:t>
            </w:r>
            <w:r w:rsidRPr="003F520D">
              <w:rPr>
                <w:sz w:val="18"/>
                <w:szCs w:val="18"/>
              </w:rPr>
              <w:t>destination that offers outstanding customer service on a par with the best worldwide</w:t>
            </w:r>
            <w:r>
              <w:rPr>
                <w:sz w:val="18"/>
                <w:szCs w:val="18"/>
              </w:rPr>
              <w:t>.</w:t>
            </w:r>
          </w:p>
        </w:tc>
      </w:tr>
    </w:tbl>
    <w:p w:rsidR="00BA477C" w:rsidRPr="00D14630" w:rsidRDefault="00BA477C" w:rsidP="00BA477C">
      <w:pPr>
        <w:pStyle w:val="normalnumbered"/>
        <w:tabs>
          <w:tab w:val="clear" w:pos="2666"/>
        </w:tabs>
        <w:spacing w:after="120" w:line="264" w:lineRule="auto"/>
        <w:ind w:left="1112" w:right="40" w:firstLine="0"/>
        <w:rPr>
          <w:sz w:val="2"/>
          <w:szCs w:val="2"/>
        </w:rPr>
      </w:pPr>
    </w:p>
    <w:p w:rsidR="00BA477C" w:rsidRDefault="00BA477C" w:rsidP="00C66A67">
      <w:pPr>
        <w:spacing w:before="120" w:after="120" w:line="264" w:lineRule="auto"/>
        <w:jc w:val="both"/>
        <w:rPr>
          <w:rFonts w:ascii="Arial Bold" w:hAnsi="Arial Bold" w:cs="Arial"/>
          <w:b/>
          <w:color w:val="6C2768"/>
          <w:sz w:val="22"/>
          <w:szCs w:val="22"/>
          <w:lang w:eastAsia="en-GB"/>
        </w:rPr>
      </w:pPr>
    </w:p>
    <w:p w:rsidR="00BA477C" w:rsidRDefault="00BA477C" w:rsidP="00C66A67">
      <w:pPr>
        <w:spacing w:before="120" w:after="120" w:line="264" w:lineRule="auto"/>
        <w:jc w:val="both"/>
        <w:rPr>
          <w:rFonts w:ascii="Arial Bold" w:hAnsi="Arial Bold" w:cs="Arial"/>
          <w:b/>
          <w:color w:val="6C2768"/>
          <w:sz w:val="22"/>
          <w:szCs w:val="22"/>
          <w:lang w:eastAsia="en-GB"/>
        </w:rPr>
      </w:pPr>
    </w:p>
    <w:p w:rsidR="00C66A67" w:rsidRPr="005968F0" w:rsidRDefault="008F44E1" w:rsidP="00C66A67">
      <w:pPr>
        <w:spacing w:before="120" w:after="120" w:line="264" w:lineRule="auto"/>
        <w:jc w:val="both"/>
        <w:rPr>
          <w:rFonts w:ascii="Arial Bold" w:hAnsi="Arial Bold" w:cs="Arial"/>
          <w:b/>
          <w:color w:val="6C2768"/>
          <w:sz w:val="22"/>
          <w:szCs w:val="22"/>
          <w:lang w:eastAsia="en-GB"/>
        </w:rPr>
      </w:pPr>
      <w:r>
        <w:rPr>
          <w:rFonts w:ascii="Arial Bold" w:hAnsi="Arial Bold" w:cs="Arial"/>
          <w:b/>
          <w:color w:val="6C2768"/>
          <w:sz w:val="22"/>
          <w:szCs w:val="22"/>
          <w:lang w:eastAsia="en-GB"/>
        </w:rPr>
        <w:lastRenderedPageBreak/>
        <w:t xml:space="preserve">Visitor Economy Overview </w:t>
      </w:r>
    </w:p>
    <w:p w:rsidR="00DD7B71" w:rsidRDefault="00C66A67" w:rsidP="00C66A6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Lancashire’s diverse physical and economic geography, its rich industrial heritage and its </w:t>
      </w:r>
      <w:r w:rsidR="005D26D0">
        <w:rPr>
          <w:sz w:val="18"/>
          <w:szCs w:val="18"/>
        </w:rPr>
        <w:t>mix</w:t>
      </w:r>
      <w:r>
        <w:rPr>
          <w:sz w:val="18"/>
          <w:szCs w:val="18"/>
        </w:rPr>
        <w:t xml:space="preserve"> of coastal, rural and urban areas results in </w:t>
      </w:r>
      <w:r w:rsidR="00DD7B71">
        <w:rPr>
          <w:sz w:val="18"/>
          <w:szCs w:val="18"/>
        </w:rPr>
        <w:t xml:space="preserve">a comprehensive visitor offer, summarised below. </w:t>
      </w:r>
    </w:p>
    <w:p w:rsidR="00DD7B71" w:rsidRDefault="00DD7B71" w:rsidP="00C66A67">
      <w:pPr>
        <w:pStyle w:val="normalnumbered"/>
        <w:numPr>
          <w:ilvl w:val="1"/>
          <w:numId w:val="1"/>
        </w:numPr>
        <w:tabs>
          <w:tab w:val="clear" w:pos="2666"/>
          <w:tab w:val="num" w:pos="709"/>
        </w:tabs>
        <w:spacing w:line="264" w:lineRule="auto"/>
        <w:ind w:left="0" w:right="40" w:firstLine="0"/>
        <w:rPr>
          <w:sz w:val="18"/>
          <w:szCs w:val="18"/>
        </w:rPr>
      </w:pPr>
      <w:r w:rsidRPr="00DD7B71">
        <w:rPr>
          <w:sz w:val="18"/>
          <w:szCs w:val="18"/>
        </w:rPr>
        <w:t xml:space="preserve">The </w:t>
      </w:r>
      <w:r w:rsidRPr="00DD7B71">
        <w:rPr>
          <w:rFonts w:cs="Arial"/>
          <w:b/>
          <w:color w:val="6C2768"/>
          <w:sz w:val="18"/>
          <w:szCs w:val="18"/>
          <w:lang w:eastAsia="en-US"/>
        </w:rPr>
        <w:t xml:space="preserve">Forest of Bowland </w:t>
      </w:r>
      <w:r w:rsidRPr="005D26D0">
        <w:rPr>
          <w:sz w:val="18"/>
          <w:szCs w:val="18"/>
        </w:rPr>
        <w:t>Area of Outstanding Natural Beauty</w:t>
      </w:r>
      <w:r>
        <w:rPr>
          <w:sz w:val="18"/>
          <w:szCs w:val="18"/>
        </w:rPr>
        <w:t xml:space="preserve"> (A</w:t>
      </w:r>
      <w:r w:rsidRPr="00DD7B71">
        <w:rPr>
          <w:sz w:val="18"/>
          <w:szCs w:val="18"/>
        </w:rPr>
        <w:t>ONB</w:t>
      </w:r>
      <w:r>
        <w:rPr>
          <w:sz w:val="18"/>
          <w:szCs w:val="18"/>
        </w:rPr>
        <w:t>)</w:t>
      </w:r>
      <w:r w:rsidRPr="00DD7B71">
        <w:rPr>
          <w:sz w:val="18"/>
          <w:szCs w:val="18"/>
        </w:rPr>
        <w:t xml:space="preserve"> and the rural showcase in the </w:t>
      </w:r>
      <w:r w:rsidRPr="00DD7B71">
        <w:rPr>
          <w:rFonts w:cs="Arial"/>
          <w:b/>
          <w:color w:val="6C2768"/>
          <w:sz w:val="18"/>
          <w:szCs w:val="18"/>
          <w:lang w:eastAsia="en-US"/>
        </w:rPr>
        <w:t>Ribble Valley</w:t>
      </w:r>
      <w:r w:rsidRPr="00DD7B71">
        <w:rPr>
          <w:sz w:val="18"/>
          <w:szCs w:val="18"/>
        </w:rPr>
        <w:t xml:space="preserve"> are of a quality that puts them on a par with the best in the country as destinations for walking, cycling</w:t>
      </w:r>
      <w:r>
        <w:rPr>
          <w:sz w:val="18"/>
          <w:szCs w:val="18"/>
        </w:rPr>
        <w:t xml:space="preserve"> and </w:t>
      </w:r>
      <w:r w:rsidRPr="00DD7B71">
        <w:rPr>
          <w:sz w:val="18"/>
          <w:szCs w:val="18"/>
        </w:rPr>
        <w:t xml:space="preserve">good food and drink sourced locally. </w:t>
      </w:r>
      <w:r w:rsidR="008F44E1">
        <w:rPr>
          <w:sz w:val="18"/>
          <w:szCs w:val="18"/>
        </w:rPr>
        <w:t xml:space="preserve"> </w:t>
      </w:r>
      <w:r w:rsidRPr="00DD7B71">
        <w:rPr>
          <w:sz w:val="18"/>
          <w:szCs w:val="18"/>
        </w:rPr>
        <w:t xml:space="preserve">Lancashire’s </w:t>
      </w:r>
      <w:r w:rsidRPr="00DD7B71">
        <w:rPr>
          <w:rFonts w:cs="Arial"/>
          <w:b/>
          <w:color w:val="6C2768"/>
          <w:sz w:val="18"/>
          <w:szCs w:val="18"/>
          <w:lang w:eastAsia="en-US"/>
        </w:rPr>
        <w:t>inland waterways</w:t>
      </w:r>
      <w:r w:rsidR="008F44E1">
        <w:rPr>
          <w:rFonts w:cs="Arial"/>
          <w:b/>
          <w:color w:val="6C2768"/>
          <w:sz w:val="18"/>
          <w:szCs w:val="18"/>
          <w:lang w:eastAsia="en-US"/>
        </w:rPr>
        <w:t xml:space="preserve"> </w:t>
      </w:r>
      <w:r w:rsidR="00BE6E9B">
        <w:rPr>
          <w:sz w:val="18"/>
          <w:szCs w:val="18"/>
        </w:rPr>
        <w:t>also p</w:t>
      </w:r>
      <w:r>
        <w:rPr>
          <w:sz w:val="18"/>
          <w:szCs w:val="18"/>
        </w:rPr>
        <w:t xml:space="preserve">rovide an excellent visitor experience, although they remain a </w:t>
      </w:r>
      <w:r w:rsidRPr="00DD7B71">
        <w:rPr>
          <w:sz w:val="18"/>
          <w:szCs w:val="18"/>
        </w:rPr>
        <w:t xml:space="preserve">relatively unrecognised asset </w:t>
      </w:r>
      <w:r>
        <w:rPr>
          <w:sz w:val="18"/>
          <w:szCs w:val="18"/>
        </w:rPr>
        <w:t xml:space="preserve">and have the potential to attract more visitors in the future.  </w:t>
      </w:r>
    </w:p>
    <w:p w:rsidR="008F44E1" w:rsidRDefault="00DD7B71" w:rsidP="00C66A67">
      <w:pPr>
        <w:pStyle w:val="normalnumbered"/>
        <w:numPr>
          <w:ilvl w:val="1"/>
          <w:numId w:val="1"/>
        </w:numPr>
        <w:tabs>
          <w:tab w:val="clear" w:pos="2666"/>
          <w:tab w:val="num" w:pos="709"/>
        </w:tabs>
        <w:spacing w:line="264" w:lineRule="auto"/>
        <w:ind w:left="0" w:right="40" w:firstLine="0"/>
        <w:rPr>
          <w:sz w:val="18"/>
          <w:szCs w:val="18"/>
        </w:rPr>
      </w:pPr>
      <w:r w:rsidRPr="00DD7B71">
        <w:rPr>
          <w:sz w:val="18"/>
          <w:szCs w:val="18"/>
        </w:rPr>
        <w:t>A seaside resort for decades</w:t>
      </w:r>
      <w:r>
        <w:rPr>
          <w:sz w:val="18"/>
          <w:szCs w:val="18"/>
        </w:rPr>
        <w:t>,</w:t>
      </w:r>
      <w:r w:rsidRPr="00DD7B71">
        <w:rPr>
          <w:sz w:val="18"/>
          <w:szCs w:val="18"/>
        </w:rPr>
        <w:t xml:space="preserve"> </w:t>
      </w:r>
      <w:r w:rsidRPr="00DD7B71">
        <w:rPr>
          <w:rFonts w:cs="Arial"/>
          <w:b/>
          <w:color w:val="6C2768"/>
          <w:sz w:val="18"/>
          <w:szCs w:val="18"/>
          <w:lang w:eastAsia="en-US"/>
        </w:rPr>
        <w:t>Blackpool</w:t>
      </w:r>
      <w:r w:rsidRPr="00DD7B71">
        <w:rPr>
          <w:sz w:val="18"/>
          <w:szCs w:val="18"/>
        </w:rPr>
        <w:t xml:space="preserve"> has retained its place as England’s most popular seaside destination, famous for its tower,</w:t>
      </w:r>
      <w:r w:rsidR="00BE6E9B">
        <w:rPr>
          <w:sz w:val="18"/>
          <w:szCs w:val="18"/>
        </w:rPr>
        <w:t xml:space="preserve"> illuminations</w:t>
      </w:r>
      <w:r w:rsidR="00570B2F">
        <w:rPr>
          <w:sz w:val="18"/>
          <w:szCs w:val="18"/>
        </w:rPr>
        <w:t xml:space="preserve"> and </w:t>
      </w:r>
      <w:r w:rsidR="00BE6E9B">
        <w:rPr>
          <w:sz w:val="18"/>
          <w:szCs w:val="18"/>
        </w:rPr>
        <w:t>entertainment</w:t>
      </w:r>
      <w:r w:rsidR="00570B2F">
        <w:rPr>
          <w:sz w:val="18"/>
          <w:szCs w:val="18"/>
        </w:rPr>
        <w:t>,</w:t>
      </w:r>
      <w:r w:rsidR="00BE6E9B">
        <w:rPr>
          <w:sz w:val="18"/>
          <w:szCs w:val="18"/>
        </w:rPr>
        <w:t xml:space="preserve"> as well as being </w:t>
      </w:r>
      <w:r w:rsidRPr="00DD7B71">
        <w:rPr>
          <w:sz w:val="18"/>
          <w:szCs w:val="18"/>
        </w:rPr>
        <w:t xml:space="preserve">recognised </w:t>
      </w:r>
      <w:r w:rsidR="00BE6E9B">
        <w:rPr>
          <w:sz w:val="18"/>
          <w:szCs w:val="18"/>
        </w:rPr>
        <w:t xml:space="preserve">internationally as the </w:t>
      </w:r>
      <w:r w:rsidRPr="00DD7B71">
        <w:rPr>
          <w:sz w:val="18"/>
          <w:szCs w:val="18"/>
        </w:rPr>
        <w:t>home of ballroom dancing. After a period of decline</w:t>
      </w:r>
      <w:r>
        <w:rPr>
          <w:sz w:val="18"/>
          <w:szCs w:val="18"/>
        </w:rPr>
        <w:t>,</w:t>
      </w:r>
      <w:r w:rsidRPr="00DD7B71">
        <w:rPr>
          <w:sz w:val="18"/>
          <w:szCs w:val="18"/>
        </w:rPr>
        <w:t xml:space="preserve"> Blackpool is reinventing itself and has embarked on a programme of investment in its facilities, services and accommodation stock and has recently launched a new national promotional campaign. </w:t>
      </w:r>
    </w:p>
    <w:p w:rsidR="00DD7B71" w:rsidRDefault="008F44E1" w:rsidP="00C66A6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Blackpool </w:t>
      </w:r>
      <w:r w:rsidR="00DD7B71" w:rsidRPr="00DD7B71">
        <w:rPr>
          <w:sz w:val="18"/>
          <w:szCs w:val="18"/>
        </w:rPr>
        <w:t xml:space="preserve">sits centrally in a </w:t>
      </w:r>
      <w:r w:rsidR="00DD7B71" w:rsidRPr="00DD7B71">
        <w:rPr>
          <w:rFonts w:cs="Arial"/>
          <w:b/>
          <w:color w:val="6C2768"/>
          <w:sz w:val="18"/>
          <w:szCs w:val="18"/>
          <w:lang w:eastAsia="en-US"/>
        </w:rPr>
        <w:t>137 mile coastline</w:t>
      </w:r>
      <w:r w:rsidR="00DD7B71" w:rsidRPr="00DD7B71">
        <w:rPr>
          <w:sz w:val="18"/>
          <w:szCs w:val="18"/>
        </w:rPr>
        <w:t xml:space="preserve"> that is visited for its tranquillity, beauty and opportunities for engaging with nature. The </w:t>
      </w:r>
      <w:r w:rsidR="00DD7B71" w:rsidRPr="00DD7B71">
        <w:rPr>
          <w:rFonts w:cs="Arial"/>
          <w:b/>
          <w:color w:val="6C2768"/>
          <w:sz w:val="18"/>
          <w:szCs w:val="18"/>
          <w:lang w:eastAsia="en-US"/>
        </w:rPr>
        <w:t>Arnside and Silverdale AONB</w:t>
      </w:r>
      <w:r w:rsidR="00DD7B71" w:rsidRPr="00DD7B71">
        <w:rPr>
          <w:sz w:val="18"/>
          <w:szCs w:val="18"/>
        </w:rPr>
        <w:t xml:space="preserve"> and the wider </w:t>
      </w:r>
      <w:r w:rsidR="00DD7B71" w:rsidRPr="00DD7B71">
        <w:rPr>
          <w:rFonts w:cs="Arial"/>
          <w:b/>
          <w:color w:val="6C2768"/>
          <w:sz w:val="18"/>
          <w:szCs w:val="18"/>
          <w:lang w:eastAsia="en-US"/>
        </w:rPr>
        <w:t>Morecambe Bay</w:t>
      </w:r>
      <w:r w:rsidR="00DD7B71" w:rsidRPr="00DD7B71">
        <w:rPr>
          <w:sz w:val="18"/>
          <w:szCs w:val="18"/>
        </w:rPr>
        <w:t xml:space="preserve"> area is highly valued by visitors who like to relax and refresh themselves in the area and pursue activities such as cycling and walking. The </w:t>
      </w:r>
      <w:r w:rsidR="00DD7B71" w:rsidRPr="00DD7B71">
        <w:rPr>
          <w:rFonts w:cs="Arial"/>
          <w:b/>
          <w:color w:val="6C2768"/>
          <w:sz w:val="18"/>
          <w:szCs w:val="18"/>
          <w:lang w:eastAsia="en-US"/>
        </w:rPr>
        <w:t>Fylde and Wyre</w:t>
      </w:r>
      <w:r w:rsidR="00DD7B71" w:rsidRPr="00DD7B71">
        <w:rPr>
          <w:sz w:val="18"/>
          <w:szCs w:val="18"/>
        </w:rPr>
        <w:t xml:space="preserve"> coastlines</w:t>
      </w:r>
      <w:r w:rsidR="00DD7B71">
        <w:rPr>
          <w:sz w:val="18"/>
          <w:szCs w:val="18"/>
        </w:rPr>
        <w:t>,</w:t>
      </w:r>
      <w:r w:rsidR="00DD7B71" w:rsidRPr="00DD7B71">
        <w:rPr>
          <w:sz w:val="18"/>
          <w:szCs w:val="18"/>
        </w:rPr>
        <w:t xml:space="preserve"> though less developed</w:t>
      </w:r>
      <w:r w:rsidR="00DD7B71">
        <w:rPr>
          <w:sz w:val="18"/>
          <w:szCs w:val="18"/>
        </w:rPr>
        <w:t>,</w:t>
      </w:r>
      <w:r w:rsidR="00DD7B71" w:rsidRPr="00DD7B71">
        <w:rPr>
          <w:sz w:val="18"/>
          <w:szCs w:val="18"/>
        </w:rPr>
        <w:t xml:space="preserve"> are dotted with seaside towns and villages that attract visitors for days out and family holidays as well as hotspots of national excellence such as championship golf in </w:t>
      </w:r>
      <w:r w:rsidR="00DD7B71" w:rsidRPr="008F44E1">
        <w:rPr>
          <w:sz w:val="18"/>
          <w:szCs w:val="18"/>
        </w:rPr>
        <w:t>Lytham St Anne’s</w:t>
      </w:r>
      <w:r w:rsidR="00DD7B71" w:rsidRPr="00DD7B71">
        <w:rPr>
          <w:sz w:val="18"/>
          <w:szCs w:val="18"/>
        </w:rPr>
        <w:t xml:space="preserve"> and at </w:t>
      </w:r>
      <w:r w:rsidR="00DD7B71" w:rsidRPr="008F44E1">
        <w:rPr>
          <w:sz w:val="18"/>
          <w:szCs w:val="18"/>
        </w:rPr>
        <w:t>Royal Birkdale</w:t>
      </w:r>
      <w:r w:rsidR="00DD7B71" w:rsidRPr="00DD7B71">
        <w:rPr>
          <w:sz w:val="18"/>
          <w:szCs w:val="18"/>
        </w:rPr>
        <w:t>.</w:t>
      </w:r>
    </w:p>
    <w:p w:rsidR="008F44E1" w:rsidRDefault="008F44E1" w:rsidP="00C66A67">
      <w:pPr>
        <w:pStyle w:val="normalnumbered"/>
        <w:numPr>
          <w:ilvl w:val="1"/>
          <w:numId w:val="1"/>
        </w:numPr>
        <w:tabs>
          <w:tab w:val="clear" w:pos="2666"/>
          <w:tab w:val="num" w:pos="709"/>
        </w:tabs>
        <w:spacing w:line="264" w:lineRule="auto"/>
        <w:ind w:left="0" w:right="40" w:firstLine="0"/>
        <w:rPr>
          <w:sz w:val="18"/>
          <w:szCs w:val="18"/>
        </w:rPr>
      </w:pPr>
      <w:r w:rsidRPr="008F44E1">
        <w:rPr>
          <w:sz w:val="18"/>
          <w:szCs w:val="18"/>
        </w:rPr>
        <w:t xml:space="preserve">Just inland sits the historic county town of </w:t>
      </w:r>
      <w:r w:rsidRPr="008F44E1">
        <w:rPr>
          <w:rFonts w:cs="Arial"/>
          <w:b/>
          <w:color w:val="6C2768"/>
          <w:sz w:val="18"/>
          <w:szCs w:val="18"/>
          <w:lang w:eastAsia="en-US"/>
        </w:rPr>
        <w:t>Lancaster</w:t>
      </w:r>
      <w:r w:rsidRPr="008F44E1">
        <w:rPr>
          <w:sz w:val="18"/>
          <w:szCs w:val="18"/>
        </w:rPr>
        <w:t xml:space="preserve">, a small city with a built heritage that puts it in England’s top flight, potentially. As the heritage centre of the county, with its Georgian roots evident in its architecture, it is a place that provides a quality environment for people that like history, independent shopping and cultural experiences. It is </w:t>
      </w:r>
      <w:r w:rsidR="00BE6E9B">
        <w:rPr>
          <w:sz w:val="18"/>
          <w:szCs w:val="18"/>
        </w:rPr>
        <w:t xml:space="preserve">also </w:t>
      </w:r>
      <w:r w:rsidRPr="008F44E1">
        <w:rPr>
          <w:sz w:val="18"/>
          <w:szCs w:val="18"/>
        </w:rPr>
        <w:t>one of the county’s biggest opportunities for growth.</w:t>
      </w:r>
    </w:p>
    <w:p w:rsidR="008F44E1" w:rsidRDefault="008F44E1" w:rsidP="00C66A67">
      <w:pPr>
        <w:pStyle w:val="normalnumbered"/>
        <w:numPr>
          <w:ilvl w:val="1"/>
          <w:numId w:val="1"/>
        </w:numPr>
        <w:tabs>
          <w:tab w:val="clear" w:pos="2666"/>
          <w:tab w:val="num" w:pos="709"/>
        </w:tabs>
        <w:spacing w:line="264" w:lineRule="auto"/>
        <w:ind w:left="0" w:right="40" w:firstLine="0"/>
        <w:rPr>
          <w:sz w:val="18"/>
          <w:szCs w:val="18"/>
        </w:rPr>
      </w:pPr>
      <w:r w:rsidRPr="008F44E1">
        <w:rPr>
          <w:rFonts w:cs="Arial"/>
          <w:b/>
          <w:color w:val="6C2768"/>
          <w:sz w:val="18"/>
          <w:szCs w:val="18"/>
          <w:lang w:eastAsia="en-US"/>
        </w:rPr>
        <w:t>Preston</w:t>
      </w:r>
      <w:r w:rsidRPr="008F44E1">
        <w:rPr>
          <w:sz w:val="18"/>
          <w:szCs w:val="18"/>
        </w:rPr>
        <w:t xml:space="preserve"> is the administrative heart of the county. It has significant potential as a hub for business tourism and</w:t>
      </w:r>
      <w:r w:rsidR="00BE6E9B">
        <w:rPr>
          <w:sz w:val="18"/>
          <w:szCs w:val="18"/>
        </w:rPr>
        <w:t>,</w:t>
      </w:r>
      <w:r w:rsidRPr="008F44E1">
        <w:rPr>
          <w:sz w:val="18"/>
          <w:szCs w:val="18"/>
        </w:rPr>
        <w:t xml:space="preserve"> </w:t>
      </w:r>
      <w:r w:rsidR="00BE6E9B">
        <w:rPr>
          <w:sz w:val="18"/>
          <w:szCs w:val="18"/>
        </w:rPr>
        <w:t xml:space="preserve">because of its transport links and the </w:t>
      </w:r>
      <w:r w:rsidR="00BE6E9B">
        <w:rPr>
          <w:sz w:val="18"/>
          <w:szCs w:val="18"/>
        </w:rPr>
        <w:lastRenderedPageBreak/>
        <w:t xml:space="preserve">fact it is only two hours by train from London, </w:t>
      </w:r>
      <w:r w:rsidRPr="008F44E1">
        <w:rPr>
          <w:sz w:val="18"/>
          <w:szCs w:val="18"/>
        </w:rPr>
        <w:t>is an important orientation point for visitors to the county.</w:t>
      </w:r>
    </w:p>
    <w:p w:rsidR="008F44E1" w:rsidRDefault="00570B2F" w:rsidP="00C66A6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Lancashire has a growing </w:t>
      </w:r>
      <w:r w:rsidRPr="00570B2F">
        <w:rPr>
          <w:rFonts w:cs="Arial"/>
          <w:b/>
          <w:color w:val="6C2768"/>
          <w:sz w:val="18"/>
          <w:szCs w:val="18"/>
          <w:lang w:eastAsia="en-US"/>
        </w:rPr>
        <w:t>events p</w:t>
      </w:r>
      <w:r w:rsidR="008F44E1" w:rsidRPr="00570B2F">
        <w:rPr>
          <w:rFonts w:cs="Arial"/>
          <w:b/>
          <w:color w:val="6C2768"/>
          <w:sz w:val="18"/>
          <w:szCs w:val="18"/>
          <w:lang w:eastAsia="en-US"/>
        </w:rPr>
        <w:t>rogramme</w:t>
      </w:r>
      <w:r w:rsidR="008F44E1" w:rsidRPr="008F44E1">
        <w:rPr>
          <w:sz w:val="18"/>
          <w:szCs w:val="18"/>
        </w:rPr>
        <w:t>. Those with the highest profile are Blackpool Air Show, the Illuminations and annual Switch On Event, Fleetwood Festival of Transport, Vintage By the Sea and the Lytham Festival</w:t>
      </w:r>
      <w:r w:rsidR="00BE6E9B">
        <w:rPr>
          <w:sz w:val="18"/>
          <w:szCs w:val="18"/>
        </w:rPr>
        <w:t xml:space="preserve">, alongside which is a </w:t>
      </w:r>
      <w:r w:rsidR="008F44E1" w:rsidRPr="008F44E1">
        <w:rPr>
          <w:sz w:val="18"/>
          <w:szCs w:val="18"/>
        </w:rPr>
        <w:t xml:space="preserve">plethora of smaller festivals </w:t>
      </w:r>
      <w:r w:rsidR="00BE6E9B">
        <w:rPr>
          <w:sz w:val="18"/>
          <w:szCs w:val="18"/>
        </w:rPr>
        <w:t>offering an</w:t>
      </w:r>
      <w:r w:rsidR="008F44E1" w:rsidRPr="008F44E1">
        <w:rPr>
          <w:sz w:val="18"/>
          <w:szCs w:val="18"/>
        </w:rPr>
        <w:t xml:space="preserve"> authentic Lancastrian experience.</w:t>
      </w:r>
    </w:p>
    <w:p w:rsidR="008F44E1" w:rsidRPr="008F44E1" w:rsidRDefault="008F44E1" w:rsidP="00C66A67">
      <w:pPr>
        <w:pStyle w:val="normalnumbered"/>
        <w:numPr>
          <w:ilvl w:val="1"/>
          <w:numId w:val="1"/>
        </w:numPr>
        <w:tabs>
          <w:tab w:val="clear" w:pos="2666"/>
          <w:tab w:val="num" w:pos="709"/>
        </w:tabs>
        <w:spacing w:line="264" w:lineRule="auto"/>
        <w:ind w:left="0" w:right="40" w:firstLine="0"/>
        <w:rPr>
          <w:sz w:val="18"/>
          <w:szCs w:val="18"/>
        </w:rPr>
      </w:pPr>
      <w:r w:rsidRPr="008F44E1">
        <w:rPr>
          <w:sz w:val="18"/>
          <w:szCs w:val="18"/>
        </w:rPr>
        <w:t xml:space="preserve">In terms of its </w:t>
      </w:r>
      <w:r w:rsidRPr="008F44E1">
        <w:rPr>
          <w:rFonts w:cs="Arial"/>
          <w:b/>
          <w:color w:val="6C2768"/>
          <w:sz w:val="18"/>
          <w:szCs w:val="18"/>
          <w:lang w:eastAsia="en-US"/>
        </w:rPr>
        <w:t>services and facilities</w:t>
      </w:r>
      <w:r w:rsidRPr="008F44E1">
        <w:rPr>
          <w:sz w:val="18"/>
          <w:szCs w:val="18"/>
        </w:rPr>
        <w:t xml:space="preserve">, the county has some outstanding businesses that are </w:t>
      </w:r>
      <w:r w:rsidR="00BE6E9B">
        <w:rPr>
          <w:sz w:val="18"/>
          <w:szCs w:val="18"/>
        </w:rPr>
        <w:t xml:space="preserve">both </w:t>
      </w:r>
      <w:r w:rsidRPr="008F44E1">
        <w:rPr>
          <w:sz w:val="18"/>
          <w:szCs w:val="18"/>
        </w:rPr>
        <w:t xml:space="preserve">award winning and </w:t>
      </w:r>
      <w:r w:rsidR="00BE6E9B">
        <w:rPr>
          <w:sz w:val="18"/>
          <w:szCs w:val="18"/>
        </w:rPr>
        <w:t xml:space="preserve">very </w:t>
      </w:r>
      <w:r w:rsidRPr="008F44E1">
        <w:rPr>
          <w:sz w:val="18"/>
          <w:szCs w:val="18"/>
        </w:rPr>
        <w:t xml:space="preserve">popular. </w:t>
      </w:r>
      <w:r>
        <w:rPr>
          <w:sz w:val="18"/>
          <w:szCs w:val="18"/>
        </w:rPr>
        <w:t xml:space="preserve"> </w:t>
      </w:r>
      <w:r w:rsidR="00BE6E9B">
        <w:rPr>
          <w:sz w:val="18"/>
          <w:szCs w:val="18"/>
        </w:rPr>
        <w:t>T</w:t>
      </w:r>
      <w:r w:rsidRPr="008F44E1">
        <w:rPr>
          <w:sz w:val="18"/>
          <w:szCs w:val="18"/>
        </w:rPr>
        <w:t xml:space="preserve">he Freemasons at Wiswell, </w:t>
      </w:r>
      <w:r w:rsidR="00BE6E9B">
        <w:rPr>
          <w:sz w:val="18"/>
          <w:szCs w:val="18"/>
        </w:rPr>
        <w:t xml:space="preserve">for example, </w:t>
      </w:r>
      <w:r w:rsidRPr="008F44E1">
        <w:rPr>
          <w:sz w:val="18"/>
          <w:szCs w:val="18"/>
        </w:rPr>
        <w:t xml:space="preserve">received the gold award for Tourism Pub of the Year at the </w:t>
      </w:r>
      <w:r w:rsidR="00BE6E9B">
        <w:rPr>
          <w:sz w:val="18"/>
          <w:szCs w:val="18"/>
        </w:rPr>
        <w:t xml:space="preserve">2014 Visit England Awards for Excellence, while the </w:t>
      </w:r>
      <w:r w:rsidRPr="008F44E1">
        <w:rPr>
          <w:sz w:val="18"/>
          <w:szCs w:val="18"/>
        </w:rPr>
        <w:t xml:space="preserve">Woodland Spa won Global Spa of the Year and Best </w:t>
      </w:r>
      <w:r w:rsidR="00BE6E9B">
        <w:rPr>
          <w:sz w:val="18"/>
          <w:szCs w:val="18"/>
        </w:rPr>
        <w:t>Emerging Spa at the Luxury Spa A</w:t>
      </w:r>
      <w:r w:rsidRPr="008F44E1">
        <w:rPr>
          <w:sz w:val="18"/>
          <w:szCs w:val="18"/>
        </w:rPr>
        <w:t>wards in 2015. In the North West, Blackpool is second only to the Lake District in terms of consumer’s consideration for a visit. It also performs well against other resorts</w:t>
      </w:r>
      <w:r w:rsidR="00BE6E9B">
        <w:rPr>
          <w:sz w:val="18"/>
          <w:szCs w:val="18"/>
        </w:rPr>
        <w:t>,</w:t>
      </w:r>
      <w:r w:rsidRPr="008F44E1">
        <w:rPr>
          <w:sz w:val="18"/>
          <w:szCs w:val="18"/>
        </w:rPr>
        <w:t xml:space="preserve"> coming second </w:t>
      </w:r>
      <w:r w:rsidR="00570B2F">
        <w:rPr>
          <w:sz w:val="18"/>
          <w:szCs w:val="18"/>
        </w:rPr>
        <w:t xml:space="preserve">only </w:t>
      </w:r>
      <w:r w:rsidRPr="008F44E1">
        <w:rPr>
          <w:sz w:val="18"/>
          <w:szCs w:val="18"/>
        </w:rPr>
        <w:t>to Bournemouth in appeal among</w:t>
      </w:r>
      <w:r w:rsidR="00BE6E9B">
        <w:rPr>
          <w:sz w:val="18"/>
          <w:szCs w:val="18"/>
        </w:rPr>
        <w:t>st</w:t>
      </w:r>
      <w:r w:rsidRPr="008F44E1">
        <w:rPr>
          <w:sz w:val="18"/>
          <w:szCs w:val="18"/>
        </w:rPr>
        <w:t xml:space="preserve"> consumers nationally. </w:t>
      </w:r>
      <w:r w:rsidR="00BE6E9B">
        <w:rPr>
          <w:sz w:val="18"/>
          <w:szCs w:val="18"/>
        </w:rPr>
        <w:t xml:space="preserve"> </w:t>
      </w:r>
    </w:p>
    <w:p w:rsidR="008F44E1" w:rsidRPr="005968F0" w:rsidRDefault="008F44E1" w:rsidP="008F44E1">
      <w:pPr>
        <w:spacing w:before="120" w:after="120" w:line="264" w:lineRule="auto"/>
        <w:jc w:val="both"/>
        <w:rPr>
          <w:rFonts w:ascii="Arial Bold" w:hAnsi="Arial Bold" w:cs="Arial"/>
          <w:b/>
          <w:color w:val="6C2768"/>
          <w:sz w:val="22"/>
          <w:szCs w:val="22"/>
          <w:lang w:eastAsia="en-GB"/>
        </w:rPr>
      </w:pPr>
      <w:r>
        <w:rPr>
          <w:rFonts w:ascii="Arial Bold" w:hAnsi="Arial Bold" w:cs="Arial"/>
          <w:b/>
          <w:color w:val="6C2768"/>
          <w:sz w:val="22"/>
          <w:szCs w:val="22"/>
          <w:lang w:eastAsia="en-GB"/>
        </w:rPr>
        <w:t>A Summary of Strengths, Opportunities and Challenges</w:t>
      </w:r>
    </w:p>
    <w:p w:rsidR="0041611E" w:rsidRDefault="008F44E1" w:rsidP="008F44E1">
      <w:pPr>
        <w:pStyle w:val="normalnumbered"/>
        <w:numPr>
          <w:ilvl w:val="1"/>
          <w:numId w:val="1"/>
        </w:numPr>
        <w:tabs>
          <w:tab w:val="clear" w:pos="2666"/>
          <w:tab w:val="num" w:pos="709"/>
        </w:tabs>
        <w:spacing w:line="264" w:lineRule="auto"/>
        <w:ind w:left="0" w:right="40" w:firstLine="0"/>
        <w:rPr>
          <w:sz w:val="18"/>
          <w:szCs w:val="18"/>
        </w:rPr>
      </w:pPr>
      <w:r w:rsidRPr="008F44E1">
        <w:rPr>
          <w:sz w:val="18"/>
          <w:szCs w:val="18"/>
        </w:rPr>
        <w:t>Lancashire</w:t>
      </w:r>
      <w:r>
        <w:rPr>
          <w:sz w:val="18"/>
          <w:szCs w:val="18"/>
        </w:rPr>
        <w:t xml:space="preserve">’s visitor economy </w:t>
      </w:r>
      <w:r w:rsidRPr="008F44E1">
        <w:rPr>
          <w:sz w:val="18"/>
          <w:szCs w:val="18"/>
        </w:rPr>
        <w:t>has considerable strengths</w:t>
      </w:r>
      <w:r>
        <w:rPr>
          <w:sz w:val="18"/>
          <w:szCs w:val="18"/>
        </w:rPr>
        <w:t xml:space="preserve"> </w:t>
      </w:r>
      <w:r w:rsidR="00570B2F">
        <w:rPr>
          <w:sz w:val="18"/>
          <w:szCs w:val="18"/>
        </w:rPr>
        <w:t>–</w:t>
      </w:r>
      <w:r>
        <w:rPr>
          <w:sz w:val="18"/>
          <w:szCs w:val="18"/>
        </w:rPr>
        <w:t xml:space="preserve"> m</w:t>
      </w:r>
      <w:r w:rsidRPr="008F44E1">
        <w:rPr>
          <w:sz w:val="18"/>
          <w:szCs w:val="18"/>
        </w:rPr>
        <w:t>uch</w:t>
      </w:r>
      <w:r w:rsidR="00570B2F">
        <w:rPr>
          <w:sz w:val="18"/>
          <w:szCs w:val="18"/>
        </w:rPr>
        <w:t xml:space="preserve"> </w:t>
      </w:r>
      <w:r w:rsidRPr="008F44E1">
        <w:rPr>
          <w:sz w:val="18"/>
          <w:szCs w:val="18"/>
        </w:rPr>
        <w:t>of its product is well developed and the county provides high quality and memorable experiences for visitors.</w:t>
      </w:r>
      <w:r>
        <w:rPr>
          <w:sz w:val="18"/>
          <w:szCs w:val="18"/>
        </w:rPr>
        <w:t xml:space="preserve">  But like most destinations in England, it also has challenges (accommodation and public transport being amongst the most prominent) as well as opportunities to strengthen and diversify the visitor offer going forwards.  These strengths, challenges and opportunities are summarised in the boxes </w:t>
      </w:r>
      <w:r w:rsidR="0041611E">
        <w:rPr>
          <w:sz w:val="18"/>
          <w:szCs w:val="18"/>
        </w:rPr>
        <w:t>opposite</w:t>
      </w:r>
      <w:r>
        <w:rPr>
          <w:sz w:val="18"/>
          <w:szCs w:val="18"/>
        </w:rPr>
        <w:t>.</w:t>
      </w:r>
    </w:p>
    <w:p w:rsidR="008F44E1" w:rsidRDefault="008F44E1" w:rsidP="0041611E">
      <w:pPr>
        <w:pStyle w:val="normalnumbered"/>
        <w:tabs>
          <w:tab w:val="clear" w:pos="2666"/>
        </w:tabs>
        <w:spacing w:line="264" w:lineRule="auto"/>
        <w:ind w:left="0" w:right="40" w:firstLine="0"/>
        <w:rPr>
          <w:sz w:val="18"/>
          <w:szCs w:val="18"/>
        </w:rPr>
      </w:pPr>
    </w:p>
    <w:p w:rsidR="0041611E" w:rsidRDefault="0041611E" w:rsidP="0041611E">
      <w:pPr>
        <w:pStyle w:val="normalnumbered"/>
        <w:tabs>
          <w:tab w:val="clear" w:pos="2666"/>
        </w:tabs>
        <w:spacing w:line="264" w:lineRule="auto"/>
        <w:ind w:left="0" w:right="40" w:firstLine="0"/>
        <w:rPr>
          <w:sz w:val="18"/>
          <w:szCs w:val="18"/>
        </w:rPr>
      </w:pPr>
    </w:p>
    <w:p w:rsidR="0041611E" w:rsidRDefault="0041611E" w:rsidP="0041611E">
      <w:pPr>
        <w:pStyle w:val="normalnumbered"/>
        <w:tabs>
          <w:tab w:val="clear" w:pos="2666"/>
        </w:tabs>
        <w:spacing w:line="264" w:lineRule="auto"/>
        <w:ind w:left="0" w:right="40" w:firstLine="0"/>
        <w:rPr>
          <w:sz w:val="18"/>
          <w:szCs w:val="18"/>
        </w:rPr>
      </w:pPr>
    </w:p>
    <w:p w:rsidR="0041611E" w:rsidRDefault="0041611E" w:rsidP="0041611E">
      <w:pPr>
        <w:pStyle w:val="normalnumbered"/>
        <w:tabs>
          <w:tab w:val="clear" w:pos="2666"/>
        </w:tabs>
        <w:spacing w:line="264" w:lineRule="auto"/>
        <w:ind w:left="0" w:right="40" w:firstLine="0"/>
        <w:rPr>
          <w:sz w:val="18"/>
          <w:szCs w:val="18"/>
        </w:rPr>
      </w:pPr>
    </w:p>
    <w:p w:rsidR="0041611E" w:rsidRDefault="0041611E" w:rsidP="0041611E">
      <w:pPr>
        <w:pStyle w:val="normalnumbered"/>
        <w:tabs>
          <w:tab w:val="clear" w:pos="2666"/>
        </w:tabs>
        <w:spacing w:line="264" w:lineRule="auto"/>
        <w:ind w:left="0" w:right="40" w:firstLine="0"/>
        <w:rPr>
          <w:sz w:val="18"/>
          <w:szCs w:val="18"/>
        </w:rPr>
      </w:pPr>
    </w:p>
    <w:p w:rsidR="0041611E" w:rsidRDefault="0041611E" w:rsidP="0041611E">
      <w:pPr>
        <w:pStyle w:val="normalnumbered"/>
        <w:tabs>
          <w:tab w:val="clear" w:pos="2666"/>
        </w:tabs>
        <w:spacing w:line="264" w:lineRule="auto"/>
        <w:ind w:left="0" w:right="40" w:firstLine="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449"/>
      </w:tblGrid>
      <w:tr w:rsidR="00B63849" w:rsidRPr="00971220" w:rsidTr="00712619">
        <w:tc>
          <w:tcPr>
            <w:tcW w:w="1384" w:type="dxa"/>
            <w:vMerge w:val="restart"/>
            <w:shd w:val="clear" w:color="auto" w:fill="6C2768"/>
            <w:vAlign w:val="center"/>
          </w:tcPr>
          <w:p w:rsidR="00B63849" w:rsidRPr="00B63849" w:rsidRDefault="00B63849" w:rsidP="00B63849">
            <w:pPr>
              <w:pStyle w:val="normalnumbered"/>
              <w:tabs>
                <w:tab w:val="clear" w:pos="2666"/>
              </w:tabs>
              <w:spacing w:after="120" w:line="240" w:lineRule="auto"/>
              <w:ind w:left="0" w:right="40" w:firstLine="0"/>
              <w:jc w:val="left"/>
              <w:rPr>
                <w:rFonts w:cs="Arial"/>
                <w:sz w:val="16"/>
                <w:szCs w:val="16"/>
              </w:rPr>
            </w:pPr>
            <w:r w:rsidRPr="00B63849">
              <w:rPr>
                <w:b/>
                <w:color w:val="FFFFFF" w:themeColor="background1"/>
                <w:sz w:val="16"/>
                <w:szCs w:val="16"/>
              </w:rPr>
              <w:lastRenderedPageBreak/>
              <w:t>trengths</w:t>
            </w:r>
          </w:p>
        </w:tc>
        <w:tc>
          <w:tcPr>
            <w:tcW w:w="5449" w:type="dxa"/>
            <w:tcBorders>
              <w:bottom w:val="single" w:sz="4" w:space="0" w:color="FFFFFF" w:themeColor="background1"/>
            </w:tcBorders>
            <w:shd w:val="clear" w:color="auto" w:fill="E5DFEC" w:themeFill="accent4" w:themeFillTint="33"/>
            <w:vAlign w:val="center"/>
          </w:tcPr>
          <w:p w:rsidR="00B63849" w:rsidRPr="00B63849" w:rsidRDefault="00B63849" w:rsidP="00B63849">
            <w:pPr>
              <w:pStyle w:val="normalnumbered"/>
              <w:tabs>
                <w:tab w:val="clear" w:pos="2666"/>
              </w:tabs>
              <w:spacing w:before="60" w:after="60" w:line="264" w:lineRule="auto"/>
              <w:ind w:left="0" w:right="40" w:firstLine="0"/>
              <w:jc w:val="left"/>
              <w:rPr>
                <w:sz w:val="16"/>
                <w:szCs w:val="16"/>
              </w:rPr>
            </w:pPr>
            <w:r w:rsidRPr="008F44E1">
              <w:rPr>
                <w:rFonts w:cs="Arial"/>
                <w:sz w:val="16"/>
                <w:szCs w:val="16"/>
              </w:rPr>
              <w:t>Inland and coastal landscapes.</w:t>
            </w:r>
            <w:r w:rsidRPr="00B63849">
              <w:rPr>
                <w:rFonts w:cs="Arial"/>
                <w:sz w:val="18"/>
                <w:szCs w:val="18"/>
              </w:rPr>
              <w:t xml:space="preserve"> </w:t>
            </w:r>
          </w:p>
        </w:tc>
      </w:tr>
      <w:tr w:rsidR="00B63849" w:rsidRPr="00971220" w:rsidTr="00712619">
        <w:tc>
          <w:tcPr>
            <w:tcW w:w="1384" w:type="dxa"/>
            <w:vMerge/>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B63849"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The entertainment hub at Blackpool.</w:t>
            </w:r>
          </w:p>
        </w:tc>
      </w:tr>
      <w:tr w:rsidR="00B63849" w:rsidRPr="00971220" w:rsidTr="00712619">
        <w:trPr>
          <w:trHeight w:val="266"/>
        </w:trPr>
        <w:tc>
          <w:tcPr>
            <w:tcW w:w="1384" w:type="dxa"/>
            <w:vMerge/>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F8487B"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 xml:space="preserve">Rural showcase in the Ribble Valley and Forest of Bowland. </w:t>
            </w:r>
          </w:p>
        </w:tc>
      </w:tr>
      <w:tr w:rsidR="00B63849" w:rsidRPr="00971220" w:rsidTr="00712619">
        <w:tc>
          <w:tcPr>
            <w:tcW w:w="1384" w:type="dxa"/>
            <w:vMerge/>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F8487B"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 xml:space="preserve">The heritage city of Lancaster. </w:t>
            </w:r>
          </w:p>
        </w:tc>
      </w:tr>
      <w:tr w:rsidR="00B63849" w:rsidRPr="00971220" w:rsidTr="00712619">
        <w:tc>
          <w:tcPr>
            <w:tcW w:w="1384" w:type="dxa"/>
            <w:vMerge/>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F8487B"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 xml:space="preserve">A growing programme of events, some with national potential. </w:t>
            </w:r>
          </w:p>
        </w:tc>
      </w:tr>
      <w:tr w:rsidR="00B63849" w:rsidRPr="00971220" w:rsidTr="00712619">
        <w:tc>
          <w:tcPr>
            <w:tcW w:w="1384" w:type="dxa"/>
            <w:vMerge/>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F8487B"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 xml:space="preserve">A wide range of outdoor activities for all ages and abilities. </w:t>
            </w:r>
          </w:p>
        </w:tc>
      </w:tr>
      <w:tr w:rsidR="00B63849" w:rsidRPr="00971220" w:rsidTr="00712619">
        <w:tc>
          <w:tcPr>
            <w:tcW w:w="1384" w:type="dxa"/>
            <w:vMerge/>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F8487B"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 xml:space="preserve">An emerging business tourism offer at Preston. </w:t>
            </w:r>
          </w:p>
        </w:tc>
      </w:tr>
      <w:tr w:rsidR="00B63849" w:rsidRPr="00971220" w:rsidTr="00712619">
        <w:tc>
          <w:tcPr>
            <w:tcW w:w="1384" w:type="dxa"/>
            <w:vMerge/>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F8487B"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 xml:space="preserve">Good road and rail connections, and proximity to Manchester International Airport and other regional airports and ports. </w:t>
            </w:r>
          </w:p>
        </w:tc>
      </w:tr>
      <w:tr w:rsidR="00B63849" w:rsidRPr="00971220" w:rsidTr="00B63849">
        <w:tc>
          <w:tcPr>
            <w:tcW w:w="1384" w:type="dxa"/>
            <w:vMerge/>
            <w:tcBorders>
              <w:bottom w:val="single" w:sz="4" w:space="0" w:color="FFFFFF" w:themeColor="background1"/>
            </w:tcBorders>
            <w:shd w:val="clear" w:color="auto" w:fill="6C2768"/>
            <w:vAlign w:val="center"/>
          </w:tcPr>
          <w:p w:rsidR="00B63849" w:rsidRPr="00B63849" w:rsidRDefault="00B63849" w:rsidP="00B63849">
            <w:pPr>
              <w:pStyle w:val="normalnumbered"/>
              <w:tabs>
                <w:tab w:val="clear" w:pos="2666"/>
              </w:tabs>
              <w:spacing w:before="0" w:after="0" w:line="264" w:lineRule="auto"/>
              <w:ind w:left="0" w:right="40" w:firstLine="0"/>
              <w:jc w:val="left"/>
              <w:rPr>
                <w:rFonts w:cs="Arial"/>
                <w:sz w:val="16"/>
                <w:szCs w:val="16"/>
              </w:rPr>
            </w:pPr>
          </w:p>
        </w:tc>
        <w:tc>
          <w:tcPr>
            <w:tcW w:w="5449" w:type="dxa"/>
            <w:tcBorders>
              <w:bottom w:val="single" w:sz="4" w:space="0" w:color="FFFFFF" w:themeColor="background1"/>
            </w:tcBorders>
            <w:shd w:val="clear" w:color="auto" w:fill="E5DFEC" w:themeFill="accent4" w:themeFillTint="33"/>
            <w:vAlign w:val="center"/>
          </w:tcPr>
          <w:p w:rsidR="00B63849" w:rsidRPr="00B63849" w:rsidRDefault="00B63849" w:rsidP="00B63849">
            <w:pPr>
              <w:pStyle w:val="normalnumbered"/>
              <w:tabs>
                <w:tab w:val="clear" w:pos="2666"/>
              </w:tabs>
              <w:spacing w:before="60" w:after="60" w:line="264" w:lineRule="auto"/>
              <w:ind w:left="0" w:right="40" w:firstLine="0"/>
              <w:jc w:val="left"/>
              <w:rPr>
                <w:rFonts w:cs="Arial"/>
                <w:sz w:val="16"/>
                <w:szCs w:val="16"/>
              </w:rPr>
            </w:pPr>
            <w:r w:rsidRPr="00F8487B">
              <w:rPr>
                <w:rFonts w:cs="Arial"/>
                <w:sz w:val="16"/>
                <w:szCs w:val="16"/>
              </w:rPr>
              <w:t>Range/depth of quality food producers and eateries sourcing locally.</w:t>
            </w:r>
            <w:r w:rsidRPr="00B63849">
              <w:rPr>
                <w:rFonts w:cs="Arial"/>
                <w:sz w:val="16"/>
                <w:szCs w:val="16"/>
              </w:rPr>
              <w:t xml:space="preserve"> </w:t>
            </w:r>
          </w:p>
        </w:tc>
      </w:tr>
      <w:tr w:rsidR="00B63849" w:rsidRPr="00971220" w:rsidTr="00712619">
        <w:tc>
          <w:tcPr>
            <w:tcW w:w="1384" w:type="dxa"/>
            <w:vMerge w:val="restart"/>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r w:rsidRPr="008F44E1">
              <w:rPr>
                <w:b/>
                <w:color w:val="FFFFFF" w:themeColor="background1"/>
                <w:sz w:val="16"/>
                <w:szCs w:val="16"/>
              </w:rPr>
              <w:t>Challenges</w:t>
            </w:r>
          </w:p>
        </w:tc>
        <w:tc>
          <w:tcPr>
            <w:tcW w:w="5449" w:type="dxa"/>
            <w:tcBorders>
              <w:bottom w:val="single" w:sz="4" w:space="0" w:color="FFFFFF" w:themeColor="background1"/>
            </w:tcBorders>
            <w:shd w:val="clear" w:color="auto" w:fill="E5DFEC" w:themeFill="accent4" w:themeFillTint="33"/>
          </w:tcPr>
          <w:p w:rsidR="00B63849" w:rsidRPr="00C557B1" w:rsidRDefault="00B63849" w:rsidP="00B63849">
            <w:pPr>
              <w:pStyle w:val="normalnumbered"/>
              <w:tabs>
                <w:tab w:val="clear" w:pos="2666"/>
              </w:tabs>
              <w:spacing w:before="60" w:after="60" w:line="264" w:lineRule="auto"/>
              <w:ind w:left="0" w:right="40" w:firstLine="0"/>
              <w:jc w:val="left"/>
              <w:rPr>
                <w:rFonts w:cs="Arial"/>
                <w:sz w:val="16"/>
                <w:szCs w:val="16"/>
              </w:rPr>
            </w:pPr>
            <w:r w:rsidRPr="00C557B1">
              <w:rPr>
                <w:rFonts w:cs="Arial"/>
                <w:sz w:val="16"/>
                <w:szCs w:val="16"/>
              </w:rPr>
              <w:t xml:space="preserve">Quality of the accommodation base. </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C557B1" w:rsidRDefault="00B63849" w:rsidP="00B63849">
            <w:pPr>
              <w:pStyle w:val="normalnumbered"/>
              <w:tabs>
                <w:tab w:val="clear" w:pos="2666"/>
              </w:tabs>
              <w:spacing w:before="60" w:after="60" w:line="264" w:lineRule="auto"/>
              <w:ind w:left="0" w:right="40" w:firstLine="0"/>
              <w:jc w:val="left"/>
              <w:rPr>
                <w:rFonts w:cs="Arial"/>
                <w:sz w:val="16"/>
                <w:szCs w:val="16"/>
              </w:rPr>
            </w:pPr>
            <w:r w:rsidRPr="00C557B1">
              <w:rPr>
                <w:rFonts w:cs="Arial"/>
                <w:sz w:val="16"/>
                <w:szCs w:val="16"/>
              </w:rPr>
              <w:t>Quantity and variety of the accommodation base in specific areas</w:t>
            </w:r>
            <w:r w:rsidR="00570B2F">
              <w:rPr>
                <w:rFonts w:cs="Arial"/>
                <w:sz w:val="16"/>
                <w:szCs w:val="16"/>
              </w:rPr>
              <w:t>.</w:t>
            </w:r>
            <w:r w:rsidRPr="00C557B1">
              <w:rPr>
                <w:rFonts w:cs="Arial"/>
                <w:sz w:val="16"/>
                <w:szCs w:val="16"/>
              </w:rPr>
              <w:t xml:space="preserve"> </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C557B1" w:rsidRDefault="00B63849" w:rsidP="00B63849">
            <w:pPr>
              <w:pStyle w:val="normalnumbered"/>
              <w:tabs>
                <w:tab w:val="clear" w:pos="2666"/>
              </w:tabs>
              <w:spacing w:before="60" w:after="60" w:line="264" w:lineRule="auto"/>
              <w:ind w:left="0" w:right="40" w:firstLine="0"/>
              <w:jc w:val="left"/>
              <w:rPr>
                <w:rFonts w:cs="Arial"/>
                <w:sz w:val="16"/>
                <w:szCs w:val="16"/>
              </w:rPr>
            </w:pPr>
            <w:r w:rsidRPr="00C557B1">
              <w:rPr>
                <w:rFonts w:cs="Arial"/>
                <w:sz w:val="16"/>
                <w:szCs w:val="16"/>
              </w:rPr>
              <w:t xml:space="preserve">New business-oriented accommodation and venues. </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C557B1" w:rsidRDefault="00B63849" w:rsidP="00B63849">
            <w:pPr>
              <w:pStyle w:val="normalnumbered"/>
              <w:tabs>
                <w:tab w:val="clear" w:pos="2666"/>
              </w:tabs>
              <w:spacing w:before="60" w:after="60" w:line="264" w:lineRule="auto"/>
              <w:ind w:left="0" w:right="40" w:firstLine="0"/>
              <w:jc w:val="left"/>
              <w:rPr>
                <w:rFonts w:cs="Arial"/>
                <w:sz w:val="16"/>
                <w:szCs w:val="16"/>
              </w:rPr>
            </w:pPr>
            <w:r w:rsidRPr="00C557B1">
              <w:rPr>
                <w:rFonts w:cs="Arial"/>
                <w:sz w:val="16"/>
                <w:szCs w:val="16"/>
              </w:rPr>
              <w:t>Weak public transport and outdated rural road infrastructure.</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C557B1" w:rsidRDefault="00B63849" w:rsidP="00B63849">
            <w:pPr>
              <w:pStyle w:val="normalnumbered"/>
              <w:tabs>
                <w:tab w:val="clear" w:pos="2666"/>
              </w:tabs>
              <w:spacing w:before="60" w:after="60" w:line="264" w:lineRule="auto"/>
              <w:ind w:left="0" w:right="40" w:firstLine="0"/>
              <w:jc w:val="left"/>
              <w:rPr>
                <w:rFonts w:cs="Arial"/>
                <w:sz w:val="16"/>
                <w:szCs w:val="16"/>
              </w:rPr>
            </w:pPr>
            <w:r w:rsidRPr="00C557B1">
              <w:rPr>
                <w:rFonts w:cs="Arial"/>
                <w:sz w:val="16"/>
                <w:szCs w:val="16"/>
              </w:rPr>
              <w:t xml:space="preserve">Lack of profile, particularly at a national and international level. </w:t>
            </w:r>
          </w:p>
        </w:tc>
      </w:tr>
      <w:tr w:rsidR="00B63849" w:rsidRPr="00971220" w:rsidTr="00712619">
        <w:tc>
          <w:tcPr>
            <w:tcW w:w="1384" w:type="dxa"/>
            <w:vMerge/>
            <w:tcBorders>
              <w:bottom w:val="single" w:sz="4" w:space="0" w:color="FFFFFF" w:themeColor="background1"/>
            </w:tcBorders>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B63849" w:rsidRDefault="00B63849" w:rsidP="00570B2F">
            <w:pPr>
              <w:pStyle w:val="normalnumbered"/>
              <w:tabs>
                <w:tab w:val="clear" w:pos="2666"/>
              </w:tabs>
              <w:spacing w:before="60" w:after="60" w:line="264" w:lineRule="auto"/>
              <w:ind w:left="0" w:right="40" w:firstLine="0"/>
              <w:jc w:val="left"/>
              <w:rPr>
                <w:rFonts w:cs="Arial"/>
                <w:sz w:val="16"/>
                <w:szCs w:val="16"/>
              </w:rPr>
            </w:pPr>
            <w:r w:rsidRPr="00C557B1">
              <w:rPr>
                <w:rFonts w:cs="Arial"/>
                <w:sz w:val="16"/>
                <w:szCs w:val="16"/>
              </w:rPr>
              <w:t xml:space="preserve">Lack of clarity </w:t>
            </w:r>
            <w:r w:rsidR="00570B2F">
              <w:rPr>
                <w:rFonts w:cs="Arial"/>
                <w:sz w:val="16"/>
                <w:szCs w:val="16"/>
              </w:rPr>
              <w:t xml:space="preserve">and a strong message </w:t>
            </w:r>
            <w:r w:rsidRPr="00C557B1">
              <w:rPr>
                <w:rFonts w:cs="Arial"/>
                <w:sz w:val="16"/>
                <w:szCs w:val="16"/>
              </w:rPr>
              <w:t xml:space="preserve">about what the county has to offer to consumers. </w:t>
            </w:r>
          </w:p>
        </w:tc>
      </w:tr>
      <w:tr w:rsidR="00B63849" w:rsidRPr="00971220" w:rsidTr="00712619">
        <w:tc>
          <w:tcPr>
            <w:tcW w:w="1384" w:type="dxa"/>
            <w:vMerge w:val="restart"/>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r>
              <w:rPr>
                <w:b/>
                <w:color w:val="FFFFFF" w:themeColor="background1"/>
                <w:sz w:val="16"/>
                <w:szCs w:val="16"/>
              </w:rPr>
              <w:t>Opportunities</w:t>
            </w:r>
          </w:p>
        </w:tc>
        <w:tc>
          <w:tcPr>
            <w:tcW w:w="5449" w:type="dxa"/>
            <w:tcBorders>
              <w:bottom w:val="single" w:sz="4" w:space="0" w:color="FFFFFF" w:themeColor="background1"/>
            </w:tcBorders>
            <w:shd w:val="clear" w:color="auto" w:fill="E5DFEC" w:themeFill="accent4" w:themeFillTint="33"/>
          </w:tcPr>
          <w:p w:rsidR="00B63849" w:rsidRPr="00DB13E8" w:rsidRDefault="00B63849" w:rsidP="00B63849">
            <w:pPr>
              <w:pStyle w:val="normalnumbered"/>
              <w:tabs>
                <w:tab w:val="clear" w:pos="2666"/>
              </w:tabs>
              <w:spacing w:before="60" w:after="60" w:line="264" w:lineRule="auto"/>
              <w:ind w:left="0" w:right="40" w:firstLine="0"/>
              <w:jc w:val="left"/>
              <w:rPr>
                <w:rFonts w:cs="Arial"/>
                <w:sz w:val="16"/>
                <w:szCs w:val="16"/>
              </w:rPr>
            </w:pPr>
            <w:r w:rsidRPr="00DB13E8">
              <w:rPr>
                <w:rFonts w:cs="Arial"/>
                <w:sz w:val="16"/>
                <w:szCs w:val="16"/>
              </w:rPr>
              <w:t xml:space="preserve">Arrival points and gateways to provide a better welcome and a stronger sense of place. </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DB13E8" w:rsidRDefault="00B63849" w:rsidP="00B63849">
            <w:pPr>
              <w:pStyle w:val="normalnumbered"/>
              <w:tabs>
                <w:tab w:val="clear" w:pos="2666"/>
              </w:tabs>
              <w:spacing w:before="60" w:after="60" w:line="264" w:lineRule="auto"/>
              <w:ind w:left="0" w:right="40" w:firstLine="0"/>
              <w:jc w:val="left"/>
              <w:rPr>
                <w:rFonts w:cs="Arial"/>
                <w:sz w:val="16"/>
                <w:szCs w:val="16"/>
              </w:rPr>
            </w:pPr>
            <w:r w:rsidRPr="00DB13E8">
              <w:rPr>
                <w:rFonts w:cs="Arial"/>
                <w:sz w:val="16"/>
                <w:szCs w:val="16"/>
              </w:rPr>
              <w:t xml:space="preserve">Accommodation, facilities and experiences for people with accessibility needs. </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DB13E8" w:rsidRDefault="00B63849" w:rsidP="00B63849">
            <w:pPr>
              <w:pStyle w:val="normalnumbered"/>
              <w:tabs>
                <w:tab w:val="clear" w:pos="2666"/>
              </w:tabs>
              <w:spacing w:before="60" w:after="60" w:line="264" w:lineRule="auto"/>
              <w:ind w:left="0" w:right="40" w:firstLine="0"/>
              <w:jc w:val="left"/>
              <w:rPr>
                <w:rFonts w:cs="Arial"/>
                <w:sz w:val="16"/>
                <w:szCs w:val="16"/>
              </w:rPr>
            </w:pPr>
            <w:r w:rsidRPr="00DB13E8">
              <w:rPr>
                <w:rFonts w:cs="Arial"/>
                <w:sz w:val="16"/>
                <w:szCs w:val="16"/>
              </w:rPr>
              <w:t>Flexible, accessible and customised training programmes and business advice particularly for small</w:t>
            </w:r>
            <w:r w:rsidRPr="00B63849">
              <w:rPr>
                <w:rFonts w:cs="Arial"/>
                <w:sz w:val="16"/>
                <w:szCs w:val="16"/>
              </w:rPr>
              <w:t xml:space="preserve"> tourism businesses</w:t>
            </w:r>
            <w:r w:rsidRPr="00DB13E8">
              <w:rPr>
                <w:rFonts w:cs="Arial"/>
                <w:sz w:val="16"/>
                <w:szCs w:val="16"/>
              </w:rPr>
              <w:t xml:space="preserve">. </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DB13E8" w:rsidRDefault="00B63849" w:rsidP="00B63849">
            <w:pPr>
              <w:pStyle w:val="normalnumbered"/>
              <w:tabs>
                <w:tab w:val="clear" w:pos="2666"/>
              </w:tabs>
              <w:spacing w:before="60" w:after="60" w:line="264" w:lineRule="auto"/>
              <w:ind w:left="0" w:right="40" w:firstLine="0"/>
              <w:jc w:val="left"/>
              <w:rPr>
                <w:rFonts w:cs="Arial"/>
                <w:sz w:val="16"/>
                <w:szCs w:val="16"/>
              </w:rPr>
            </w:pPr>
            <w:r w:rsidRPr="00DB13E8">
              <w:rPr>
                <w:rFonts w:cs="Arial"/>
                <w:sz w:val="16"/>
                <w:szCs w:val="16"/>
              </w:rPr>
              <w:t xml:space="preserve">Partnerships between the tourism industry and Lancashire’s three universities to grow business tourism and maximise the value of the ‘visiting friends and relations’ market. </w:t>
            </w:r>
          </w:p>
        </w:tc>
      </w:tr>
      <w:tr w:rsidR="00B63849" w:rsidRPr="00971220" w:rsidTr="00712619">
        <w:tc>
          <w:tcPr>
            <w:tcW w:w="1384" w:type="dxa"/>
            <w:vMerge/>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DB13E8" w:rsidRDefault="00B63849" w:rsidP="00B63849">
            <w:pPr>
              <w:pStyle w:val="normalnumbered"/>
              <w:tabs>
                <w:tab w:val="clear" w:pos="2666"/>
              </w:tabs>
              <w:spacing w:before="60" w:after="60" w:line="264" w:lineRule="auto"/>
              <w:ind w:left="0" w:right="40" w:firstLine="0"/>
              <w:jc w:val="left"/>
              <w:rPr>
                <w:rFonts w:cs="Arial"/>
                <w:sz w:val="16"/>
                <w:szCs w:val="16"/>
              </w:rPr>
            </w:pPr>
            <w:r w:rsidRPr="00DB13E8">
              <w:rPr>
                <w:rFonts w:cs="Arial"/>
                <w:sz w:val="16"/>
                <w:szCs w:val="16"/>
              </w:rPr>
              <w:t xml:space="preserve">Lancashire’s centres of excellence to grow a hospitality workforce for the future that will provide outstanding customer service. </w:t>
            </w:r>
          </w:p>
        </w:tc>
      </w:tr>
      <w:tr w:rsidR="00B63849" w:rsidRPr="00971220" w:rsidTr="00712619">
        <w:tc>
          <w:tcPr>
            <w:tcW w:w="1384" w:type="dxa"/>
            <w:vMerge/>
            <w:tcBorders>
              <w:bottom w:val="single" w:sz="4" w:space="0" w:color="FFFFFF" w:themeColor="background1"/>
            </w:tcBorders>
            <w:shd w:val="clear" w:color="auto" w:fill="6C2768"/>
            <w:vAlign w:val="center"/>
          </w:tcPr>
          <w:p w:rsidR="00B63849" w:rsidRPr="008F44E1" w:rsidRDefault="00B63849" w:rsidP="00712619">
            <w:pPr>
              <w:pStyle w:val="normalnumbered"/>
              <w:tabs>
                <w:tab w:val="clear" w:pos="2666"/>
              </w:tabs>
              <w:spacing w:after="120" w:line="240" w:lineRule="auto"/>
              <w:ind w:left="0" w:right="40" w:firstLine="0"/>
              <w:jc w:val="left"/>
              <w:rPr>
                <w:b/>
                <w:color w:val="FFFFFF" w:themeColor="background1"/>
                <w:sz w:val="16"/>
                <w:szCs w:val="16"/>
              </w:rPr>
            </w:pPr>
          </w:p>
        </w:tc>
        <w:tc>
          <w:tcPr>
            <w:tcW w:w="5449" w:type="dxa"/>
            <w:tcBorders>
              <w:bottom w:val="single" w:sz="4" w:space="0" w:color="FFFFFF" w:themeColor="background1"/>
            </w:tcBorders>
            <w:shd w:val="clear" w:color="auto" w:fill="E5DFEC" w:themeFill="accent4" w:themeFillTint="33"/>
          </w:tcPr>
          <w:p w:rsidR="00B63849" w:rsidRPr="00B63849" w:rsidRDefault="00B63849" w:rsidP="00B63849">
            <w:pPr>
              <w:pStyle w:val="normalnumbered"/>
              <w:tabs>
                <w:tab w:val="clear" w:pos="2666"/>
              </w:tabs>
              <w:spacing w:before="60" w:after="60" w:line="264" w:lineRule="auto"/>
              <w:ind w:left="0" w:right="40" w:firstLine="0"/>
              <w:jc w:val="left"/>
              <w:rPr>
                <w:rFonts w:cs="Arial"/>
                <w:sz w:val="16"/>
                <w:szCs w:val="16"/>
              </w:rPr>
            </w:pPr>
            <w:r w:rsidRPr="00DB13E8">
              <w:rPr>
                <w:rFonts w:cs="Arial"/>
                <w:sz w:val="16"/>
                <w:szCs w:val="16"/>
              </w:rPr>
              <w:t>Cultural tourism for Lancashire, defining what it means for the county and how it could be used to attract more visitors.</w:t>
            </w:r>
            <w:r w:rsidRPr="00B63849">
              <w:rPr>
                <w:rFonts w:cs="Arial"/>
                <w:sz w:val="16"/>
                <w:szCs w:val="16"/>
              </w:rPr>
              <w:t xml:space="preserve"> </w:t>
            </w:r>
          </w:p>
        </w:tc>
      </w:tr>
    </w:tbl>
    <w:p w:rsidR="00DD7B71" w:rsidRPr="007C694A" w:rsidRDefault="00B63849" w:rsidP="008F44E1">
      <w:pPr>
        <w:pStyle w:val="normalnumbered"/>
        <w:tabs>
          <w:tab w:val="clear" w:pos="2666"/>
        </w:tabs>
        <w:spacing w:line="264" w:lineRule="auto"/>
        <w:ind w:left="0" w:right="40" w:firstLine="0"/>
        <w:rPr>
          <w:rFonts w:ascii="Arial Bold" w:hAnsi="Arial Bold" w:cs="Arial"/>
          <w:b/>
          <w:color w:val="6C2768"/>
          <w:sz w:val="22"/>
          <w:szCs w:val="22"/>
        </w:rPr>
      </w:pPr>
      <w:r>
        <w:rPr>
          <w:rFonts w:ascii="Arial Bold" w:hAnsi="Arial Bold" w:cs="Arial"/>
          <w:b/>
          <w:color w:val="6C2768"/>
          <w:sz w:val="22"/>
          <w:szCs w:val="22"/>
        </w:rPr>
        <w:lastRenderedPageBreak/>
        <w:t>Improving the Visitor Offer</w:t>
      </w:r>
    </w:p>
    <w:p w:rsidR="008F44E1" w:rsidRDefault="00DD7B71" w:rsidP="00C66A67">
      <w:pPr>
        <w:pStyle w:val="normalnumbered"/>
        <w:numPr>
          <w:ilvl w:val="1"/>
          <w:numId w:val="1"/>
        </w:numPr>
        <w:tabs>
          <w:tab w:val="clear" w:pos="2666"/>
          <w:tab w:val="num" w:pos="709"/>
        </w:tabs>
        <w:spacing w:line="264" w:lineRule="auto"/>
        <w:ind w:left="0" w:right="40" w:firstLine="0"/>
        <w:rPr>
          <w:sz w:val="18"/>
          <w:szCs w:val="18"/>
        </w:rPr>
      </w:pPr>
      <w:r w:rsidRPr="00DD7B71">
        <w:rPr>
          <w:sz w:val="18"/>
          <w:szCs w:val="18"/>
        </w:rPr>
        <w:t>Recent investment</w:t>
      </w:r>
      <w:r w:rsidR="00B63849">
        <w:rPr>
          <w:sz w:val="18"/>
          <w:szCs w:val="18"/>
        </w:rPr>
        <w:t>s, some of which have been on a very significant scale,</w:t>
      </w:r>
      <w:r w:rsidRPr="00DD7B71">
        <w:rPr>
          <w:sz w:val="18"/>
          <w:szCs w:val="18"/>
        </w:rPr>
        <w:t xml:space="preserve"> demonstrate the importance that the county’s local authorities </w:t>
      </w:r>
      <w:r w:rsidR="00B63849">
        <w:rPr>
          <w:sz w:val="18"/>
          <w:szCs w:val="18"/>
        </w:rPr>
        <w:t xml:space="preserve">attach to </w:t>
      </w:r>
      <w:r w:rsidRPr="00DD7B71">
        <w:rPr>
          <w:sz w:val="18"/>
          <w:szCs w:val="18"/>
        </w:rPr>
        <w:t>the visitor economy</w:t>
      </w:r>
      <w:r w:rsidR="008F44E1">
        <w:rPr>
          <w:sz w:val="18"/>
          <w:szCs w:val="18"/>
        </w:rPr>
        <w:t xml:space="preserve">.  </w:t>
      </w:r>
      <w:r w:rsidR="00B63849">
        <w:rPr>
          <w:sz w:val="18"/>
          <w:szCs w:val="18"/>
        </w:rPr>
        <w:t>These investments have included (although are by no means limited to)</w:t>
      </w:r>
      <w:r w:rsidR="008F44E1">
        <w:rPr>
          <w:sz w:val="18"/>
          <w:szCs w:val="18"/>
        </w:rPr>
        <w:t xml:space="preserve">: </w:t>
      </w:r>
    </w:p>
    <w:p w:rsidR="008F44E1" w:rsidRPr="008F44E1" w:rsidRDefault="00DD7B71" w:rsidP="008F44E1">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F44E1">
        <w:rPr>
          <w:rFonts w:ascii="Arial" w:hAnsi="Arial" w:cs="Arial"/>
          <w:sz w:val="18"/>
          <w:szCs w:val="18"/>
        </w:rPr>
        <w:t xml:space="preserve">£100m to </w:t>
      </w:r>
      <w:r w:rsidR="00FF6631">
        <w:rPr>
          <w:rFonts w:ascii="Arial" w:hAnsi="Arial" w:cs="Arial"/>
          <w:sz w:val="18"/>
          <w:szCs w:val="18"/>
        </w:rPr>
        <w:t>create</w:t>
      </w:r>
      <w:r w:rsidR="008F44E1" w:rsidRPr="008F44E1">
        <w:rPr>
          <w:rFonts w:ascii="Arial" w:hAnsi="Arial" w:cs="Arial"/>
          <w:sz w:val="18"/>
          <w:szCs w:val="18"/>
        </w:rPr>
        <w:t xml:space="preserve"> the new Blackpool tramway</w:t>
      </w:r>
      <w:r w:rsidR="008F44E1">
        <w:rPr>
          <w:rFonts w:ascii="Arial" w:hAnsi="Arial" w:cs="Arial"/>
          <w:sz w:val="18"/>
          <w:szCs w:val="18"/>
        </w:rPr>
        <w:t>.</w:t>
      </w:r>
    </w:p>
    <w:p w:rsidR="008F44E1" w:rsidRPr="008F44E1" w:rsidRDefault="00DD7B71" w:rsidP="008F44E1">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F44E1">
        <w:rPr>
          <w:rFonts w:ascii="Arial" w:hAnsi="Arial" w:cs="Arial"/>
          <w:sz w:val="18"/>
          <w:szCs w:val="18"/>
        </w:rPr>
        <w:t>£40m of public realm improveme</w:t>
      </w:r>
      <w:r w:rsidR="008F44E1" w:rsidRPr="008F44E1">
        <w:rPr>
          <w:rFonts w:ascii="Arial" w:hAnsi="Arial" w:cs="Arial"/>
          <w:sz w:val="18"/>
          <w:szCs w:val="18"/>
        </w:rPr>
        <w:t>nts in Preston town centre</w:t>
      </w:r>
      <w:r w:rsidR="008F44E1">
        <w:rPr>
          <w:rFonts w:ascii="Arial" w:hAnsi="Arial" w:cs="Arial"/>
          <w:sz w:val="18"/>
          <w:szCs w:val="18"/>
        </w:rPr>
        <w:t>.</w:t>
      </w:r>
    </w:p>
    <w:p w:rsidR="00DD7B71" w:rsidRPr="008F44E1" w:rsidRDefault="00DD7B71" w:rsidP="008F44E1">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F44E1">
        <w:rPr>
          <w:rFonts w:ascii="Arial" w:hAnsi="Arial" w:cs="Arial"/>
          <w:sz w:val="18"/>
          <w:szCs w:val="18"/>
        </w:rPr>
        <w:t xml:space="preserve">£25m </w:t>
      </w:r>
      <w:r w:rsidR="00B63849">
        <w:rPr>
          <w:rFonts w:ascii="Arial" w:hAnsi="Arial" w:cs="Arial"/>
          <w:sz w:val="18"/>
          <w:szCs w:val="18"/>
        </w:rPr>
        <w:t>to improve</w:t>
      </w:r>
      <w:r w:rsidR="00FF6631">
        <w:rPr>
          <w:rFonts w:ascii="Arial" w:hAnsi="Arial" w:cs="Arial"/>
          <w:sz w:val="18"/>
          <w:szCs w:val="18"/>
        </w:rPr>
        <w:t xml:space="preserve"> the Cathedral Q</w:t>
      </w:r>
      <w:r w:rsidRPr="008F44E1">
        <w:rPr>
          <w:rFonts w:ascii="Arial" w:hAnsi="Arial" w:cs="Arial"/>
          <w:sz w:val="18"/>
          <w:szCs w:val="18"/>
        </w:rPr>
        <w:t>uarter in Blackburn.</w:t>
      </w:r>
    </w:p>
    <w:p w:rsidR="008F44E1" w:rsidRDefault="00DD7B71" w:rsidP="00C66A67">
      <w:pPr>
        <w:pStyle w:val="normalnumbered"/>
        <w:numPr>
          <w:ilvl w:val="1"/>
          <w:numId w:val="1"/>
        </w:numPr>
        <w:tabs>
          <w:tab w:val="clear" w:pos="2666"/>
          <w:tab w:val="num" w:pos="709"/>
        </w:tabs>
        <w:spacing w:line="264" w:lineRule="auto"/>
        <w:ind w:left="0" w:right="40" w:firstLine="0"/>
        <w:rPr>
          <w:sz w:val="18"/>
          <w:szCs w:val="18"/>
        </w:rPr>
      </w:pPr>
      <w:r w:rsidRPr="00DD7B71">
        <w:rPr>
          <w:sz w:val="18"/>
          <w:szCs w:val="18"/>
        </w:rPr>
        <w:t xml:space="preserve">The county has </w:t>
      </w:r>
      <w:r w:rsidR="008F44E1">
        <w:rPr>
          <w:sz w:val="18"/>
          <w:szCs w:val="18"/>
        </w:rPr>
        <w:t xml:space="preserve">also </w:t>
      </w:r>
      <w:r w:rsidRPr="00DD7B71">
        <w:rPr>
          <w:sz w:val="18"/>
          <w:szCs w:val="18"/>
        </w:rPr>
        <w:t>been successful in securing investment from national funding programmes</w:t>
      </w:r>
      <w:r w:rsidR="008F44E1">
        <w:rPr>
          <w:sz w:val="18"/>
          <w:szCs w:val="18"/>
        </w:rPr>
        <w:t xml:space="preserve">.  For example: </w:t>
      </w:r>
    </w:p>
    <w:p w:rsidR="008F44E1" w:rsidRDefault="008F44E1" w:rsidP="008F44E1">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 xml:space="preserve">£1m </w:t>
      </w:r>
      <w:r w:rsidR="00B63849">
        <w:rPr>
          <w:rFonts w:ascii="Arial" w:hAnsi="Arial" w:cs="Arial"/>
          <w:sz w:val="18"/>
          <w:szCs w:val="18"/>
        </w:rPr>
        <w:t xml:space="preserve">was secured </w:t>
      </w:r>
      <w:r>
        <w:rPr>
          <w:rFonts w:ascii="Arial" w:hAnsi="Arial" w:cs="Arial"/>
          <w:sz w:val="18"/>
          <w:szCs w:val="18"/>
        </w:rPr>
        <w:t xml:space="preserve">from the </w:t>
      </w:r>
      <w:r w:rsidR="00DD7B71" w:rsidRPr="008F44E1">
        <w:rPr>
          <w:rFonts w:ascii="Arial" w:hAnsi="Arial" w:cs="Arial"/>
          <w:sz w:val="18"/>
          <w:szCs w:val="18"/>
        </w:rPr>
        <w:t xml:space="preserve">Coastal Communities Fund </w:t>
      </w:r>
      <w:r>
        <w:rPr>
          <w:rFonts w:ascii="Arial" w:hAnsi="Arial" w:cs="Arial"/>
          <w:sz w:val="18"/>
          <w:szCs w:val="18"/>
        </w:rPr>
        <w:t xml:space="preserve">to develop </w:t>
      </w:r>
      <w:r w:rsidR="00DD7B71" w:rsidRPr="008F44E1">
        <w:rPr>
          <w:rFonts w:ascii="Arial" w:hAnsi="Arial" w:cs="Arial"/>
          <w:sz w:val="18"/>
          <w:szCs w:val="18"/>
        </w:rPr>
        <w:t>cycling experiences, improv</w:t>
      </w:r>
      <w:r>
        <w:rPr>
          <w:rFonts w:ascii="Arial" w:hAnsi="Arial" w:cs="Arial"/>
          <w:sz w:val="18"/>
          <w:szCs w:val="18"/>
        </w:rPr>
        <w:t xml:space="preserve">e the </w:t>
      </w:r>
      <w:r w:rsidR="00DD7B71" w:rsidRPr="008F44E1">
        <w:rPr>
          <w:rFonts w:ascii="Arial" w:hAnsi="Arial" w:cs="Arial"/>
          <w:sz w:val="18"/>
          <w:szCs w:val="18"/>
        </w:rPr>
        <w:t>welcome for visitors and support events in the Morecambe Bay area</w:t>
      </w:r>
      <w:r>
        <w:rPr>
          <w:rFonts w:ascii="Arial" w:hAnsi="Arial" w:cs="Arial"/>
          <w:sz w:val="18"/>
          <w:szCs w:val="18"/>
        </w:rPr>
        <w:t xml:space="preserve">. </w:t>
      </w:r>
    </w:p>
    <w:p w:rsidR="008F44E1" w:rsidRDefault="008F44E1" w:rsidP="008F44E1">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 xml:space="preserve">£4.5m </w:t>
      </w:r>
      <w:r w:rsidR="00B63849">
        <w:rPr>
          <w:rFonts w:ascii="Arial" w:hAnsi="Arial" w:cs="Arial"/>
          <w:sz w:val="18"/>
          <w:szCs w:val="18"/>
        </w:rPr>
        <w:t xml:space="preserve">was secured </w:t>
      </w:r>
      <w:r>
        <w:rPr>
          <w:rFonts w:ascii="Arial" w:hAnsi="Arial" w:cs="Arial"/>
          <w:sz w:val="18"/>
          <w:szCs w:val="18"/>
        </w:rPr>
        <w:t xml:space="preserve">from the </w:t>
      </w:r>
      <w:r w:rsidR="00DD7B71" w:rsidRPr="008F44E1">
        <w:rPr>
          <w:rFonts w:ascii="Arial" w:hAnsi="Arial" w:cs="Arial"/>
          <w:sz w:val="18"/>
          <w:szCs w:val="18"/>
        </w:rPr>
        <w:t xml:space="preserve">Heritage Lottery Fund </w:t>
      </w:r>
      <w:r>
        <w:rPr>
          <w:rFonts w:ascii="Arial" w:hAnsi="Arial" w:cs="Arial"/>
          <w:sz w:val="18"/>
          <w:szCs w:val="18"/>
        </w:rPr>
        <w:t xml:space="preserve">to </w:t>
      </w:r>
      <w:r w:rsidR="00DD7B71" w:rsidRPr="008F44E1">
        <w:rPr>
          <w:rFonts w:ascii="Arial" w:hAnsi="Arial" w:cs="Arial"/>
          <w:sz w:val="18"/>
          <w:szCs w:val="18"/>
        </w:rPr>
        <w:t>help restore Lytham Hall</w:t>
      </w:r>
      <w:r>
        <w:rPr>
          <w:rFonts w:ascii="Arial" w:hAnsi="Arial" w:cs="Arial"/>
          <w:sz w:val="18"/>
          <w:szCs w:val="18"/>
        </w:rPr>
        <w:t xml:space="preserve">. </w:t>
      </w:r>
    </w:p>
    <w:p w:rsidR="00DD7B71" w:rsidRPr="008F44E1" w:rsidRDefault="00DD7B71" w:rsidP="008F44E1">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F44E1">
        <w:rPr>
          <w:rFonts w:ascii="Arial" w:hAnsi="Arial" w:cs="Arial"/>
          <w:sz w:val="18"/>
          <w:szCs w:val="18"/>
        </w:rPr>
        <w:t xml:space="preserve">£1.2m </w:t>
      </w:r>
      <w:r w:rsidR="00B63849">
        <w:rPr>
          <w:rFonts w:ascii="Arial" w:hAnsi="Arial" w:cs="Arial"/>
          <w:sz w:val="18"/>
          <w:szCs w:val="18"/>
        </w:rPr>
        <w:t xml:space="preserve">was secured </w:t>
      </w:r>
      <w:r w:rsidRPr="008F44E1">
        <w:rPr>
          <w:rFonts w:ascii="Arial" w:hAnsi="Arial" w:cs="Arial"/>
          <w:sz w:val="18"/>
          <w:szCs w:val="18"/>
        </w:rPr>
        <w:t xml:space="preserve">from the Sustainable Transport Fund </w:t>
      </w:r>
      <w:r w:rsidR="008F44E1">
        <w:rPr>
          <w:rFonts w:ascii="Arial" w:hAnsi="Arial" w:cs="Arial"/>
          <w:sz w:val="18"/>
          <w:szCs w:val="18"/>
        </w:rPr>
        <w:t xml:space="preserve">to help </w:t>
      </w:r>
      <w:r w:rsidRPr="008F44E1">
        <w:rPr>
          <w:rFonts w:ascii="Arial" w:hAnsi="Arial" w:cs="Arial"/>
          <w:sz w:val="18"/>
          <w:szCs w:val="18"/>
        </w:rPr>
        <w:t>develop cycling facilities in the county.</w:t>
      </w:r>
    </w:p>
    <w:p w:rsidR="00DD7B71" w:rsidRDefault="008F44E1" w:rsidP="00C66A67">
      <w:pPr>
        <w:pStyle w:val="normalnumbered"/>
        <w:numPr>
          <w:ilvl w:val="1"/>
          <w:numId w:val="1"/>
        </w:numPr>
        <w:tabs>
          <w:tab w:val="clear" w:pos="2666"/>
          <w:tab w:val="num" w:pos="709"/>
        </w:tabs>
        <w:spacing w:line="264" w:lineRule="auto"/>
        <w:ind w:left="0" w:right="40" w:firstLine="0"/>
        <w:rPr>
          <w:sz w:val="18"/>
          <w:szCs w:val="18"/>
        </w:rPr>
      </w:pPr>
      <w:r>
        <w:rPr>
          <w:sz w:val="18"/>
          <w:szCs w:val="18"/>
        </w:rPr>
        <w:t>P</w:t>
      </w:r>
      <w:r w:rsidR="00DD7B71" w:rsidRPr="00DD7B71">
        <w:rPr>
          <w:sz w:val="18"/>
          <w:szCs w:val="18"/>
        </w:rPr>
        <w:t xml:space="preserve">rivate sector investment has </w:t>
      </w:r>
      <w:r>
        <w:rPr>
          <w:sz w:val="18"/>
          <w:szCs w:val="18"/>
        </w:rPr>
        <w:t xml:space="preserve">also </w:t>
      </w:r>
      <w:r w:rsidR="00DD7B71" w:rsidRPr="00DD7B71">
        <w:rPr>
          <w:sz w:val="18"/>
          <w:szCs w:val="18"/>
        </w:rPr>
        <w:t xml:space="preserve">increased. </w:t>
      </w:r>
      <w:r>
        <w:rPr>
          <w:sz w:val="18"/>
          <w:szCs w:val="18"/>
        </w:rPr>
        <w:t xml:space="preserve">Some </w:t>
      </w:r>
      <w:r w:rsidR="00DD7B71" w:rsidRPr="00DD7B71">
        <w:rPr>
          <w:sz w:val="18"/>
          <w:szCs w:val="18"/>
        </w:rPr>
        <w:t xml:space="preserve">£15m </w:t>
      </w:r>
      <w:r>
        <w:rPr>
          <w:sz w:val="18"/>
          <w:szCs w:val="18"/>
        </w:rPr>
        <w:t xml:space="preserve">has been </w:t>
      </w:r>
      <w:r w:rsidR="00DD7B71" w:rsidRPr="00DD7B71">
        <w:rPr>
          <w:sz w:val="18"/>
          <w:szCs w:val="18"/>
        </w:rPr>
        <w:t>invested in Blackpool Pleasure Beach, £3m in</w:t>
      </w:r>
      <w:r>
        <w:rPr>
          <w:sz w:val="18"/>
          <w:szCs w:val="18"/>
        </w:rPr>
        <w:t xml:space="preserve"> the new Illuminasia experience and upgrades have been made at the </w:t>
      </w:r>
      <w:r w:rsidR="00DD7B71" w:rsidRPr="00DD7B71">
        <w:rPr>
          <w:sz w:val="18"/>
          <w:szCs w:val="18"/>
        </w:rPr>
        <w:t>Preston Marriott</w:t>
      </w:r>
      <w:r>
        <w:rPr>
          <w:sz w:val="18"/>
          <w:szCs w:val="18"/>
        </w:rPr>
        <w:t xml:space="preserve">.  There is </w:t>
      </w:r>
      <w:r w:rsidR="00DD7B71" w:rsidRPr="00DD7B71">
        <w:rPr>
          <w:sz w:val="18"/>
          <w:szCs w:val="18"/>
        </w:rPr>
        <w:t>new ownership and investment for Preston’s Guildhall</w:t>
      </w:r>
      <w:r w:rsidR="00570B2F">
        <w:rPr>
          <w:sz w:val="18"/>
          <w:szCs w:val="18"/>
        </w:rPr>
        <w:t>, while a</w:t>
      </w:r>
      <w:r w:rsidR="00DD7B71" w:rsidRPr="00DD7B71">
        <w:rPr>
          <w:sz w:val="18"/>
          <w:szCs w:val="18"/>
        </w:rPr>
        <w:t xml:space="preserve"> range of restorations and developments in heritage properties are refreshing and developing Lancashire’s tourism offer.</w:t>
      </w:r>
    </w:p>
    <w:p w:rsidR="00931A80" w:rsidRPr="007C694A" w:rsidRDefault="00931A80" w:rsidP="00931A80">
      <w:pPr>
        <w:spacing w:before="120" w:after="120" w:line="264" w:lineRule="auto"/>
        <w:jc w:val="both"/>
        <w:rPr>
          <w:rFonts w:ascii="Arial Bold" w:hAnsi="Arial Bold" w:cs="Arial"/>
          <w:b/>
          <w:color w:val="6C2768"/>
          <w:sz w:val="22"/>
          <w:szCs w:val="22"/>
          <w:lang w:eastAsia="en-GB"/>
        </w:rPr>
      </w:pPr>
      <w:r>
        <w:rPr>
          <w:rFonts w:ascii="Arial Bold" w:hAnsi="Arial Bold" w:cs="Arial"/>
          <w:b/>
          <w:color w:val="6C2768"/>
          <w:sz w:val="22"/>
          <w:szCs w:val="22"/>
          <w:lang w:eastAsia="en-GB"/>
        </w:rPr>
        <w:t>The Vision for Lancashire</w:t>
      </w:r>
    </w:p>
    <w:p w:rsidR="00931A80" w:rsidRDefault="003F520D" w:rsidP="00931A80">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Lancashire’s Visitor Economy Strategy (out for consultation at the time of writing) has identified a bold vision for Lancashire as a visitor destination in 2020.  Comprised of six different elements, the vision is as follows:</w:t>
      </w:r>
    </w:p>
    <w:p w:rsidR="0041611E" w:rsidRDefault="0041611E" w:rsidP="0041611E">
      <w:pPr>
        <w:pStyle w:val="normalnumbered"/>
        <w:tabs>
          <w:tab w:val="clear" w:pos="2666"/>
          <w:tab w:val="num" w:pos="2240"/>
        </w:tabs>
        <w:spacing w:line="264" w:lineRule="auto"/>
        <w:ind w:left="0" w:right="40" w:firstLine="0"/>
        <w:rPr>
          <w:sz w:val="18"/>
          <w:szCs w:val="18"/>
        </w:rPr>
      </w:pPr>
    </w:p>
    <w:p w:rsidR="0041611E" w:rsidRDefault="0041611E" w:rsidP="0041611E">
      <w:pPr>
        <w:pStyle w:val="normalnumbered"/>
        <w:tabs>
          <w:tab w:val="clear" w:pos="2666"/>
          <w:tab w:val="num" w:pos="2240"/>
        </w:tabs>
        <w:spacing w:line="264" w:lineRule="auto"/>
        <w:ind w:left="0" w:right="40" w:firstLine="0"/>
        <w:rPr>
          <w:sz w:val="18"/>
          <w:szCs w:val="18"/>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3"/>
      </w:tblGrid>
      <w:tr w:rsidR="003F520D" w:rsidRPr="00971220" w:rsidTr="003F520D">
        <w:tc>
          <w:tcPr>
            <w:tcW w:w="6663" w:type="dxa"/>
            <w:shd w:val="clear" w:color="auto" w:fill="6C2768"/>
            <w:vAlign w:val="center"/>
          </w:tcPr>
          <w:p w:rsidR="003F520D" w:rsidRPr="003F520D" w:rsidRDefault="003F520D" w:rsidP="003F520D">
            <w:pPr>
              <w:pStyle w:val="normalnumbered"/>
              <w:tabs>
                <w:tab w:val="clear" w:pos="2666"/>
              </w:tabs>
              <w:spacing w:after="120" w:line="264" w:lineRule="auto"/>
              <w:ind w:left="362" w:right="40" w:hanging="362"/>
              <w:rPr>
                <w:b/>
                <w:color w:val="FFFFFF" w:themeColor="background1"/>
                <w:sz w:val="18"/>
                <w:szCs w:val="18"/>
              </w:rPr>
            </w:pPr>
            <w:r>
              <w:rPr>
                <w:b/>
                <w:color w:val="FFFFFF" w:themeColor="background1"/>
                <w:sz w:val="18"/>
                <w:szCs w:val="18"/>
              </w:rPr>
              <w:lastRenderedPageBreak/>
              <w:t>The Vision for Lancashire as a Visitor Destination</w:t>
            </w:r>
          </w:p>
        </w:tc>
      </w:tr>
      <w:tr w:rsidR="003F520D" w:rsidRPr="00971220" w:rsidTr="00712619">
        <w:tc>
          <w:tcPr>
            <w:tcW w:w="6663" w:type="dxa"/>
            <w:shd w:val="clear" w:color="auto" w:fill="E5DFEC" w:themeFill="accent4" w:themeFillTint="33"/>
            <w:vAlign w:val="center"/>
          </w:tcPr>
          <w:p w:rsidR="003F520D" w:rsidRPr="003F520D" w:rsidRDefault="003F520D" w:rsidP="003F520D">
            <w:pPr>
              <w:pStyle w:val="normalnumbered"/>
              <w:numPr>
                <w:ilvl w:val="0"/>
                <w:numId w:val="23"/>
              </w:numPr>
              <w:spacing w:after="120" w:line="264" w:lineRule="auto"/>
              <w:ind w:left="318" w:right="40" w:hanging="284"/>
              <w:rPr>
                <w:sz w:val="18"/>
                <w:szCs w:val="18"/>
              </w:rPr>
            </w:pPr>
            <w:r w:rsidRPr="003F520D">
              <w:rPr>
                <w:sz w:val="18"/>
                <w:szCs w:val="18"/>
              </w:rPr>
              <w:t xml:space="preserve">To be recognised as one of the top 5 English counties for a refreshing and relaxing short break and an active family holiday. </w:t>
            </w:r>
          </w:p>
        </w:tc>
      </w:tr>
      <w:tr w:rsidR="003F520D" w:rsidRPr="00971220" w:rsidTr="00712619">
        <w:tc>
          <w:tcPr>
            <w:tcW w:w="6663" w:type="dxa"/>
            <w:shd w:val="clear" w:color="auto" w:fill="E5DFEC" w:themeFill="accent4" w:themeFillTint="33"/>
          </w:tcPr>
          <w:p w:rsidR="003F520D" w:rsidRPr="003F520D" w:rsidRDefault="003F520D" w:rsidP="003F520D">
            <w:pPr>
              <w:pStyle w:val="normalnumbered"/>
              <w:numPr>
                <w:ilvl w:val="0"/>
                <w:numId w:val="23"/>
              </w:numPr>
              <w:spacing w:after="120" w:line="264" w:lineRule="auto"/>
              <w:ind w:left="318" w:right="40" w:hanging="284"/>
              <w:rPr>
                <w:sz w:val="18"/>
                <w:szCs w:val="18"/>
              </w:rPr>
            </w:pPr>
            <w:r w:rsidRPr="003F520D">
              <w:rPr>
                <w:sz w:val="18"/>
                <w:szCs w:val="18"/>
              </w:rPr>
              <w:t xml:space="preserve">To be known nationally as a culinary ‘must visit destination’ because of the authenticity and quality of its food and drink, from field to table, locally sourced from the county’s stunning valleys, plains, woodlands and coasts. </w:t>
            </w:r>
          </w:p>
        </w:tc>
      </w:tr>
      <w:tr w:rsidR="003F520D" w:rsidRPr="00971220" w:rsidTr="00712619">
        <w:tc>
          <w:tcPr>
            <w:tcW w:w="6663" w:type="dxa"/>
            <w:shd w:val="clear" w:color="auto" w:fill="E5DFEC" w:themeFill="accent4" w:themeFillTint="33"/>
          </w:tcPr>
          <w:p w:rsidR="003F520D" w:rsidRDefault="003F520D" w:rsidP="003F520D">
            <w:pPr>
              <w:pStyle w:val="normalnumbered"/>
              <w:numPr>
                <w:ilvl w:val="0"/>
                <w:numId w:val="23"/>
              </w:numPr>
              <w:spacing w:after="120" w:line="264" w:lineRule="auto"/>
              <w:ind w:left="318" w:right="40" w:hanging="284"/>
              <w:rPr>
                <w:sz w:val="18"/>
                <w:szCs w:val="18"/>
              </w:rPr>
            </w:pPr>
            <w:r w:rsidRPr="003F520D">
              <w:rPr>
                <w:sz w:val="18"/>
                <w:szCs w:val="18"/>
              </w:rPr>
              <w:t>To be a preferred location for corporate events and association conferences because of the choice and value for money of its venues and the breadth and depth of the business tourism infrastructure</w:t>
            </w:r>
            <w:r w:rsidRPr="00A52845">
              <w:rPr>
                <w:sz w:val="18"/>
                <w:szCs w:val="18"/>
              </w:rPr>
              <w:t>.</w:t>
            </w:r>
          </w:p>
        </w:tc>
      </w:tr>
      <w:tr w:rsidR="003F520D" w:rsidRPr="00971220" w:rsidTr="00712619">
        <w:tc>
          <w:tcPr>
            <w:tcW w:w="6663" w:type="dxa"/>
            <w:shd w:val="clear" w:color="auto" w:fill="E5DFEC" w:themeFill="accent4" w:themeFillTint="33"/>
          </w:tcPr>
          <w:p w:rsidR="003F520D" w:rsidRPr="003F520D" w:rsidRDefault="003F520D" w:rsidP="003F520D">
            <w:pPr>
              <w:pStyle w:val="normalnumbered"/>
              <w:numPr>
                <w:ilvl w:val="0"/>
                <w:numId w:val="23"/>
              </w:numPr>
              <w:spacing w:after="120" w:line="264" w:lineRule="auto"/>
              <w:ind w:left="318" w:right="40" w:hanging="284"/>
              <w:rPr>
                <w:sz w:val="18"/>
                <w:szCs w:val="18"/>
              </w:rPr>
            </w:pPr>
            <w:r w:rsidRPr="003F520D">
              <w:rPr>
                <w:sz w:val="18"/>
                <w:szCs w:val="18"/>
              </w:rPr>
              <w:t xml:space="preserve">For the county’s cultural offer, centred on Lancaster and key annual events, to be one of the main reasons that visitors choose to visit Lancashire. </w:t>
            </w:r>
          </w:p>
        </w:tc>
      </w:tr>
      <w:tr w:rsidR="003F520D" w:rsidRPr="00971220" w:rsidTr="00712619">
        <w:tc>
          <w:tcPr>
            <w:tcW w:w="6663" w:type="dxa"/>
            <w:shd w:val="clear" w:color="auto" w:fill="E5DFEC" w:themeFill="accent4" w:themeFillTint="33"/>
          </w:tcPr>
          <w:p w:rsidR="003F520D" w:rsidRPr="003F520D" w:rsidRDefault="003F520D" w:rsidP="003F520D">
            <w:pPr>
              <w:pStyle w:val="normalnumbered"/>
              <w:numPr>
                <w:ilvl w:val="0"/>
                <w:numId w:val="23"/>
              </w:numPr>
              <w:spacing w:after="120" w:line="264" w:lineRule="auto"/>
              <w:ind w:left="318" w:right="40" w:hanging="284"/>
              <w:rPr>
                <w:sz w:val="18"/>
                <w:szCs w:val="18"/>
              </w:rPr>
            </w:pPr>
            <w:r w:rsidRPr="003F520D">
              <w:rPr>
                <w:sz w:val="18"/>
                <w:szCs w:val="18"/>
              </w:rPr>
              <w:t xml:space="preserve">To be recognised for its stunning 137 mile coastline that effortlessly combines seaside heritage and contemporary leisure experiences and is centred on England’s favourite resort, Blackpool. </w:t>
            </w:r>
          </w:p>
        </w:tc>
      </w:tr>
      <w:tr w:rsidR="003F520D" w:rsidRPr="00971220" w:rsidTr="00712619">
        <w:tc>
          <w:tcPr>
            <w:tcW w:w="6663" w:type="dxa"/>
            <w:shd w:val="clear" w:color="auto" w:fill="E5DFEC" w:themeFill="accent4" w:themeFillTint="33"/>
          </w:tcPr>
          <w:p w:rsidR="003F520D" w:rsidRPr="003F520D" w:rsidRDefault="003F520D" w:rsidP="003F520D">
            <w:pPr>
              <w:pStyle w:val="normalnumbered"/>
              <w:numPr>
                <w:ilvl w:val="0"/>
                <w:numId w:val="23"/>
              </w:numPr>
              <w:spacing w:after="120" w:line="264" w:lineRule="auto"/>
              <w:ind w:left="318" w:right="40" w:hanging="284"/>
              <w:rPr>
                <w:sz w:val="18"/>
                <w:szCs w:val="18"/>
              </w:rPr>
            </w:pPr>
            <w:r>
              <w:rPr>
                <w:sz w:val="18"/>
                <w:szCs w:val="18"/>
              </w:rPr>
              <w:t xml:space="preserve">A </w:t>
            </w:r>
            <w:r w:rsidRPr="003F520D">
              <w:rPr>
                <w:sz w:val="18"/>
                <w:szCs w:val="18"/>
              </w:rPr>
              <w:t>destination that offers outstanding customer service on a par with the best worldwide and is an example of best practice i</w:t>
            </w:r>
            <w:r>
              <w:rPr>
                <w:sz w:val="18"/>
                <w:szCs w:val="18"/>
              </w:rPr>
              <w:t>n offering accessible holidays.</w:t>
            </w:r>
          </w:p>
        </w:tc>
      </w:tr>
    </w:tbl>
    <w:p w:rsidR="003F520D" w:rsidRPr="00D14630" w:rsidRDefault="003F520D" w:rsidP="003F520D">
      <w:pPr>
        <w:pStyle w:val="normalnumbered"/>
        <w:tabs>
          <w:tab w:val="clear" w:pos="2666"/>
        </w:tabs>
        <w:spacing w:after="120" w:line="264" w:lineRule="auto"/>
        <w:ind w:left="0" w:right="40" w:firstLine="0"/>
        <w:rPr>
          <w:sz w:val="2"/>
          <w:szCs w:val="2"/>
        </w:rPr>
      </w:pPr>
    </w:p>
    <w:p w:rsidR="003F520D" w:rsidRDefault="003F520D" w:rsidP="003F520D">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Having a workforce with the right skills mix is a theme that runs through each element of the vision and one that will be integral to the success of the county’s visitor economy in the future.  It is therefore important that as the Visitor Economy Strategy is implemented, this plan be kept under regular review to ensure that it is focused on the areas (geographic and sectoral) where intervention is most needed</w:t>
      </w:r>
      <w:r w:rsidR="00FF6631">
        <w:rPr>
          <w:sz w:val="18"/>
          <w:szCs w:val="18"/>
        </w:rPr>
        <w:t xml:space="preserve"> to support the sector to grow and succeed</w:t>
      </w:r>
      <w:r>
        <w:rPr>
          <w:sz w:val="18"/>
          <w:szCs w:val="18"/>
        </w:rPr>
        <w:t xml:space="preserve">. </w:t>
      </w:r>
    </w:p>
    <w:p w:rsidR="00C66A67" w:rsidRDefault="00C66A67" w:rsidP="00931A80">
      <w:pPr>
        <w:pStyle w:val="normalnumbered"/>
        <w:tabs>
          <w:tab w:val="clear" w:pos="2666"/>
          <w:tab w:val="num" w:pos="2240"/>
        </w:tabs>
        <w:spacing w:line="264" w:lineRule="auto"/>
        <w:ind w:left="0" w:right="40" w:firstLine="0"/>
        <w:rPr>
          <w:sz w:val="18"/>
          <w:szCs w:val="18"/>
        </w:rPr>
      </w:pPr>
    </w:p>
    <w:p w:rsidR="00C66A67" w:rsidRDefault="00C66A67" w:rsidP="00C66A67">
      <w:pPr>
        <w:pStyle w:val="normalnumbered"/>
        <w:tabs>
          <w:tab w:val="clear" w:pos="2666"/>
          <w:tab w:val="num" w:pos="2240"/>
        </w:tabs>
        <w:spacing w:line="264" w:lineRule="auto"/>
        <w:ind w:left="0" w:right="40" w:firstLine="0"/>
        <w:rPr>
          <w:sz w:val="18"/>
          <w:szCs w:val="18"/>
        </w:rPr>
      </w:pPr>
    </w:p>
    <w:p w:rsidR="008F44E1" w:rsidRDefault="008F44E1" w:rsidP="008F44E1">
      <w:pPr>
        <w:pStyle w:val="ListParagraph"/>
        <w:keepNext/>
        <w:pageBreakBefore/>
        <w:numPr>
          <w:ilvl w:val="0"/>
          <w:numId w:val="1"/>
        </w:numPr>
        <w:tabs>
          <w:tab w:val="clear" w:pos="1112"/>
          <w:tab w:val="num" w:pos="567"/>
        </w:tabs>
        <w:spacing w:before="240" w:after="240" w:line="360" w:lineRule="auto"/>
        <w:ind w:left="567" w:hanging="567"/>
        <w:jc w:val="both"/>
        <w:outlineLvl w:val="0"/>
        <w:rPr>
          <w:rFonts w:ascii="Arial" w:hAnsi="Arial" w:cs="Arial"/>
          <w:b/>
          <w:bCs/>
          <w:color w:val="6C2768"/>
          <w:kern w:val="32"/>
          <w:sz w:val="28"/>
          <w:szCs w:val="32"/>
          <w:lang w:eastAsia="en-GB"/>
        </w:rPr>
      </w:pPr>
      <w:bookmarkStart w:id="25" w:name="_Toc424128466"/>
      <w:r>
        <w:rPr>
          <w:rFonts w:ascii="Arial" w:hAnsi="Arial" w:cs="Arial"/>
          <w:b/>
          <w:bCs/>
          <w:color w:val="6C2768"/>
          <w:kern w:val="32"/>
          <w:sz w:val="28"/>
          <w:szCs w:val="32"/>
          <w:lang w:eastAsia="en-GB"/>
        </w:rPr>
        <w:lastRenderedPageBreak/>
        <w:t>The Visitor Economy in Numbers</w:t>
      </w:r>
      <w:bookmarkEnd w:id="25"/>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1DD" w:themeFill="accent3" w:themeFillTint="33"/>
        <w:tblLook w:val="04A0" w:firstRow="1" w:lastRow="0" w:firstColumn="1" w:lastColumn="0" w:noHBand="0" w:noVBand="1"/>
      </w:tblPr>
      <w:tblGrid>
        <w:gridCol w:w="6663"/>
      </w:tblGrid>
      <w:tr w:rsidR="0041611E" w:rsidRPr="00971220" w:rsidTr="000A3998">
        <w:tc>
          <w:tcPr>
            <w:tcW w:w="6663" w:type="dxa"/>
            <w:shd w:val="clear" w:color="auto" w:fill="EAF1DD" w:themeFill="accent3" w:themeFillTint="33"/>
          </w:tcPr>
          <w:p w:rsidR="0041611E" w:rsidRPr="00BA477C" w:rsidRDefault="0041611E" w:rsidP="000A3998">
            <w:pPr>
              <w:pStyle w:val="normalnumbered"/>
              <w:tabs>
                <w:tab w:val="clear" w:pos="2666"/>
              </w:tabs>
              <w:spacing w:after="120" w:line="264" w:lineRule="auto"/>
              <w:ind w:right="176"/>
              <w:rPr>
                <w:b/>
                <w:color w:val="6C2768"/>
                <w:sz w:val="18"/>
                <w:szCs w:val="18"/>
              </w:rPr>
            </w:pPr>
            <w:r w:rsidRPr="00BA477C">
              <w:rPr>
                <w:b/>
                <w:color w:val="6C2768"/>
                <w:sz w:val="18"/>
                <w:szCs w:val="18"/>
              </w:rPr>
              <w:t>Summary of Key Points</w:t>
            </w:r>
          </w:p>
          <w:p w:rsidR="00987E9B" w:rsidRDefault="00987E9B" w:rsidP="00987E9B">
            <w:pPr>
              <w:pStyle w:val="normalnumbered"/>
              <w:numPr>
                <w:ilvl w:val="0"/>
                <w:numId w:val="24"/>
              </w:numPr>
              <w:spacing w:after="120" w:line="264" w:lineRule="auto"/>
              <w:ind w:right="176"/>
              <w:rPr>
                <w:sz w:val="18"/>
                <w:szCs w:val="18"/>
              </w:rPr>
            </w:pPr>
            <w:r>
              <w:rPr>
                <w:rFonts w:cs="Arial"/>
                <w:sz w:val="18"/>
                <w:szCs w:val="18"/>
              </w:rPr>
              <w:t xml:space="preserve">The STEAM model </w:t>
            </w:r>
            <w:r w:rsidRPr="00294741">
              <w:rPr>
                <w:sz w:val="18"/>
                <w:szCs w:val="18"/>
              </w:rPr>
              <w:t>estimate</w:t>
            </w:r>
            <w:r>
              <w:rPr>
                <w:sz w:val="18"/>
                <w:szCs w:val="18"/>
              </w:rPr>
              <w:t xml:space="preserve">s that </w:t>
            </w:r>
            <w:r w:rsidRPr="00294741">
              <w:rPr>
                <w:sz w:val="18"/>
                <w:szCs w:val="18"/>
              </w:rPr>
              <w:t xml:space="preserve">79 million visitor days were spent in </w:t>
            </w:r>
            <w:r>
              <w:rPr>
                <w:sz w:val="18"/>
                <w:szCs w:val="18"/>
              </w:rPr>
              <w:t xml:space="preserve">Lancashire </w:t>
            </w:r>
            <w:r w:rsidRPr="00294741">
              <w:rPr>
                <w:sz w:val="18"/>
                <w:szCs w:val="18"/>
              </w:rPr>
              <w:t>in 2013 (+6% on 2009)</w:t>
            </w:r>
            <w:r>
              <w:rPr>
                <w:sz w:val="18"/>
                <w:szCs w:val="18"/>
              </w:rPr>
              <w:t>,</w:t>
            </w:r>
            <w:r w:rsidRPr="00294741">
              <w:rPr>
                <w:sz w:val="18"/>
                <w:szCs w:val="18"/>
              </w:rPr>
              <w:t xml:space="preserve"> more than two fifths of which were in </w:t>
            </w:r>
            <w:r>
              <w:rPr>
                <w:sz w:val="18"/>
                <w:szCs w:val="18"/>
              </w:rPr>
              <w:t>Blackpool, Fylde and Wyre</w:t>
            </w:r>
            <w:r w:rsidR="0041611E">
              <w:rPr>
                <w:sz w:val="18"/>
                <w:szCs w:val="18"/>
              </w:rPr>
              <w:t xml:space="preserve">.  </w:t>
            </w:r>
            <w:r>
              <w:rPr>
                <w:sz w:val="18"/>
                <w:szCs w:val="18"/>
              </w:rPr>
              <w:t xml:space="preserve">The economic impact of the sector in 2013 was estimated </w:t>
            </w:r>
            <w:r w:rsidR="000A3998">
              <w:rPr>
                <w:sz w:val="18"/>
                <w:szCs w:val="18"/>
              </w:rPr>
              <w:t xml:space="preserve">at </w:t>
            </w:r>
            <w:r>
              <w:rPr>
                <w:sz w:val="18"/>
                <w:szCs w:val="18"/>
              </w:rPr>
              <w:t>£3.5bn (£0.5bn more than in 2009</w:t>
            </w:r>
            <w:r w:rsidR="000A3998">
              <w:rPr>
                <w:sz w:val="18"/>
                <w:szCs w:val="18"/>
              </w:rPr>
              <w:t>).</w:t>
            </w:r>
          </w:p>
          <w:p w:rsidR="0041611E" w:rsidRDefault="00987E9B" w:rsidP="000A3998">
            <w:pPr>
              <w:pStyle w:val="normalnumbered"/>
              <w:numPr>
                <w:ilvl w:val="0"/>
                <w:numId w:val="24"/>
              </w:numPr>
              <w:spacing w:after="120" w:line="264" w:lineRule="auto"/>
              <w:ind w:right="176"/>
              <w:rPr>
                <w:sz w:val="18"/>
                <w:szCs w:val="18"/>
              </w:rPr>
            </w:pPr>
            <w:r>
              <w:rPr>
                <w:sz w:val="18"/>
                <w:szCs w:val="18"/>
              </w:rPr>
              <w:t>Lancashire’s visitor economy comprises 3,800 businesses (8% of the total business base in the county), approximately two thirds of which operate in the food and services sub-sector</w:t>
            </w:r>
            <w:r w:rsidR="0041611E">
              <w:rPr>
                <w:sz w:val="18"/>
                <w:szCs w:val="18"/>
              </w:rPr>
              <w:t xml:space="preserve">. </w:t>
            </w:r>
            <w:r w:rsidRPr="00687A29">
              <w:rPr>
                <w:sz w:val="18"/>
                <w:szCs w:val="18"/>
              </w:rPr>
              <w:t xml:space="preserve">East Lancashire has the highest number of visitor economy businesses </w:t>
            </w:r>
            <w:r>
              <w:rPr>
                <w:sz w:val="18"/>
                <w:szCs w:val="18"/>
              </w:rPr>
              <w:t xml:space="preserve">in the county, although the </w:t>
            </w:r>
            <w:r w:rsidR="000A3998">
              <w:rPr>
                <w:sz w:val="18"/>
                <w:szCs w:val="18"/>
              </w:rPr>
              <w:t xml:space="preserve">highest </w:t>
            </w:r>
            <w:r>
              <w:rPr>
                <w:sz w:val="18"/>
                <w:szCs w:val="18"/>
              </w:rPr>
              <w:t xml:space="preserve">concentration is in Blackpool, Fylde and Wyre. </w:t>
            </w:r>
          </w:p>
          <w:p w:rsidR="00987E9B" w:rsidRDefault="00987E9B" w:rsidP="00987E9B">
            <w:pPr>
              <w:pStyle w:val="normalnumbered"/>
              <w:numPr>
                <w:ilvl w:val="0"/>
                <w:numId w:val="24"/>
              </w:numPr>
              <w:spacing w:after="120" w:line="264" w:lineRule="auto"/>
              <w:ind w:right="176"/>
              <w:rPr>
                <w:sz w:val="18"/>
                <w:szCs w:val="18"/>
              </w:rPr>
            </w:pPr>
            <w:r w:rsidRPr="009C29E6">
              <w:rPr>
                <w:sz w:val="18"/>
                <w:szCs w:val="18"/>
              </w:rPr>
              <w:t xml:space="preserve">Lancashire’s visitor economy </w:t>
            </w:r>
            <w:r>
              <w:rPr>
                <w:sz w:val="18"/>
                <w:szCs w:val="18"/>
              </w:rPr>
              <w:t>businesses are typically small: f</w:t>
            </w:r>
            <w:r w:rsidRPr="009C29E6">
              <w:rPr>
                <w:sz w:val="18"/>
                <w:szCs w:val="18"/>
              </w:rPr>
              <w:t>ewer than 100 busine</w:t>
            </w:r>
            <w:r>
              <w:rPr>
                <w:sz w:val="18"/>
                <w:szCs w:val="18"/>
              </w:rPr>
              <w:t>sses employ more than 50 people</w:t>
            </w:r>
            <w:r w:rsidRPr="009C29E6">
              <w:rPr>
                <w:sz w:val="18"/>
                <w:szCs w:val="18"/>
              </w:rPr>
              <w:t xml:space="preserve"> and fewer than 20 employ more than 250. </w:t>
            </w:r>
          </w:p>
          <w:p w:rsidR="00987E9B" w:rsidRDefault="00987E9B" w:rsidP="000A3998">
            <w:pPr>
              <w:pStyle w:val="normalnumbered"/>
              <w:numPr>
                <w:ilvl w:val="0"/>
                <w:numId w:val="24"/>
              </w:numPr>
              <w:spacing w:after="120" w:line="264" w:lineRule="auto"/>
              <w:ind w:right="176"/>
              <w:rPr>
                <w:sz w:val="18"/>
                <w:szCs w:val="18"/>
              </w:rPr>
            </w:pPr>
            <w:r>
              <w:rPr>
                <w:sz w:val="18"/>
                <w:szCs w:val="18"/>
              </w:rPr>
              <w:t>The</w:t>
            </w:r>
            <w:r w:rsidRPr="009C29E6">
              <w:rPr>
                <w:sz w:val="18"/>
                <w:szCs w:val="18"/>
              </w:rPr>
              <w:t xml:space="preserve"> visitor economy </w:t>
            </w:r>
            <w:r>
              <w:rPr>
                <w:sz w:val="18"/>
                <w:szCs w:val="18"/>
              </w:rPr>
              <w:t xml:space="preserve">in Lancashire employs an estimated </w:t>
            </w:r>
            <w:r w:rsidRPr="000115C9">
              <w:rPr>
                <w:sz w:val="18"/>
                <w:szCs w:val="18"/>
              </w:rPr>
              <w:t>50,500</w:t>
            </w:r>
            <w:r>
              <w:rPr>
                <w:sz w:val="18"/>
                <w:szCs w:val="18"/>
              </w:rPr>
              <w:t xml:space="preserve"> people (</w:t>
            </w:r>
            <w:r w:rsidRPr="009C29E6">
              <w:rPr>
                <w:sz w:val="18"/>
                <w:szCs w:val="18"/>
              </w:rPr>
              <w:t xml:space="preserve">8% of </w:t>
            </w:r>
            <w:r>
              <w:rPr>
                <w:sz w:val="18"/>
                <w:szCs w:val="18"/>
              </w:rPr>
              <w:t xml:space="preserve">total </w:t>
            </w:r>
            <w:r w:rsidRPr="009C29E6">
              <w:rPr>
                <w:sz w:val="18"/>
                <w:szCs w:val="18"/>
              </w:rPr>
              <w:t>employment</w:t>
            </w:r>
            <w:r w:rsidR="000A3998">
              <w:rPr>
                <w:sz w:val="18"/>
                <w:szCs w:val="18"/>
              </w:rPr>
              <w:t xml:space="preserve"> in the county</w:t>
            </w:r>
            <w:r>
              <w:rPr>
                <w:sz w:val="18"/>
                <w:szCs w:val="18"/>
              </w:rPr>
              <w:t xml:space="preserve">). </w:t>
            </w:r>
            <w:r w:rsidR="000A3998">
              <w:rPr>
                <w:sz w:val="18"/>
                <w:szCs w:val="18"/>
              </w:rPr>
              <w:t xml:space="preserve">In addition to the obvious hotspot in Blackpool, </w:t>
            </w:r>
            <w:r>
              <w:rPr>
                <w:sz w:val="18"/>
                <w:szCs w:val="18"/>
              </w:rPr>
              <w:t xml:space="preserve">above average concentrations also exist in Wyre, Lancaster and the Ribble Valley. </w:t>
            </w:r>
            <w:r>
              <w:rPr>
                <w:rFonts w:cs="Arial"/>
                <w:sz w:val="18"/>
                <w:szCs w:val="18"/>
              </w:rPr>
              <w:t>Employment in the visitor economy across the county as a whole fell by 7% (</w:t>
            </w:r>
            <w:r w:rsidRPr="00295E22">
              <w:rPr>
                <w:rFonts w:cs="Arial"/>
                <w:sz w:val="18"/>
                <w:szCs w:val="18"/>
              </w:rPr>
              <w:t>a net reduction of 3,500 jobs</w:t>
            </w:r>
            <w:r>
              <w:rPr>
                <w:rFonts w:cs="Arial"/>
                <w:sz w:val="18"/>
                <w:szCs w:val="18"/>
              </w:rPr>
              <w:t xml:space="preserve">) between 2009 and 2013. </w:t>
            </w:r>
          </w:p>
          <w:p w:rsidR="00987E9B" w:rsidRPr="00987E9B" w:rsidRDefault="00987E9B" w:rsidP="000A3998">
            <w:pPr>
              <w:pStyle w:val="normalnumbered"/>
              <w:numPr>
                <w:ilvl w:val="0"/>
                <w:numId w:val="24"/>
              </w:numPr>
              <w:spacing w:after="120" w:line="264" w:lineRule="auto"/>
              <w:ind w:right="176"/>
              <w:rPr>
                <w:sz w:val="18"/>
                <w:szCs w:val="18"/>
              </w:rPr>
            </w:pPr>
            <w:r w:rsidRPr="00295E22">
              <w:rPr>
                <w:rFonts w:cs="Arial"/>
                <w:sz w:val="18"/>
                <w:szCs w:val="18"/>
              </w:rPr>
              <w:t>Lancashire</w:t>
            </w:r>
            <w:r>
              <w:rPr>
                <w:rFonts w:cs="Arial"/>
                <w:sz w:val="18"/>
                <w:szCs w:val="18"/>
              </w:rPr>
              <w:t>’s visitor economy workforce</w:t>
            </w:r>
            <w:r w:rsidRPr="00295E22">
              <w:rPr>
                <w:rFonts w:cs="Arial"/>
                <w:sz w:val="18"/>
                <w:szCs w:val="18"/>
              </w:rPr>
              <w:t xml:space="preserve"> is characterised by a high proportion of young people. Employ</w:t>
            </w:r>
            <w:r>
              <w:rPr>
                <w:rFonts w:cs="Arial"/>
                <w:sz w:val="18"/>
                <w:szCs w:val="18"/>
              </w:rPr>
              <w:t>ees aged under 30 account for 34</w:t>
            </w:r>
            <w:r w:rsidRPr="00295E22">
              <w:rPr>
                <w:rFonts w:cs="Arial"/>
                <w:sz w:val="18"/>
                <w:szCs w:val="18"/>
              </w:rPr>
              <w:t>% of employment</w:t>
            </w:r>
            <w:r>
              <w:rPr>
                <w:rFonts w:cs="Arial"/>
                <w:sz w:val="18"/>
                <w:szCs w:val="18"/>
              </w:rPr>
              <w:t xml:space="preserve"> in the sector (compared with 24</w:t>
            </w:r>
            <w:r w:rsidRPr="00295E22">
              <w:rPr>
                <w:rFonts w:cs="Arial"/>
                <w:sz w:val="18"/>
                <w:szCs w:val="18"/>
              </w:rPr>
              <w:t>% across the LEP area as a whole</w:t>
            </w:r>
            <w:r>
              <w:rPr>
                <w:rFonts w:cs="Arial"/>
                <w:sz w:val="18"/>
                <w:szCs w:val="18"/>
              </w:rPr>
              <w:t xml:space="preserve">), and 53% are aged under 40. </w:t>
            </w:r>
            <w:r w:rsidR="000A3998">
              <w:rPr>
                <w:rFonts w:cs="Arial"/>
                <w:sz w:val="18"/>
                <w:szCs w:val="18"/>
              </w:rPr>
              <w:t xml:space="preserve"> </w:t>
            </w:r>
          </w:p>
          <w:p w:rsidR="0041611E" w:rsidRPr="00987E9B" w:rsidRDefault="00987E9B" w:rsidP="00987E9B">
            <w:pPr>
              <w:pStyle w:val="normalnumbered"/>
              <w:numPr>
                <w:ilvl w:val="0"/>
                <w:numId w:val="24"/>
              </w:numPr>
              <w:spacing w:after="120" w:line="264" w:lineRule="auto"/>
              <w:ind w:right="176"/>
              <w:rPr>
                <w:rFonts w:cs="Arial"/>
                <w:sz w:val="18"/>
                <w:szCs w:val="18"/>
              </w:rPr>
            </w:pPr>
            <w:r w:rsidRPr="00295E22">
              <w:rPr>
                <w:rFonts w:cs="Arial"/>
                <w:sz w:val="18"/>
                <w:szCs w:val="18"/>
              </w:rPr>
              <w:t xml:space="preserve">An above average proportion of employees in the visitor economy have no formal qualifications (one and half times the </w:t>
            </w:r>
            <w:r>
              <w:rPr>
                <w:rFonts w:cs="Arial"/>
                <w:sz w:val="18"/>
                <w:szCs w:val="18"/>
              </w:rPr>
              <w:t>average</w:t>
            </w:r>
            <w:r w:rsidRPr="00295E22">
              <w:rPr>
                <w:rFonts w:cs="Arial"/>
                <w:sz w:val="18"/>
                <w:szCs w:val="18"/>
              </w:rPr>
              <w:t xml:space="preserve"> for the LEP area) or are not qualified above Level 2. In contrast, the proportion of visitor economy employees qualified to Level 4 and above is less than half </w:t>
            </w:r>
            <w:r w:rsidR="000A3998">
              <w:rPr>
                <w:rFonts w:cs="Arial"/>
                <w:sz w:val="18"/>
                <w:szCs w:val="18"/>
              </w:rPr>
              <w:t xml:space="preserve">of </w:t>
            </w:r>
            <w:r w:rsidRPr="00295E22">
              <w:rPr>
                <w:rFonts w:cs="Arial"/>
                <w:sz w:val="18"/>
                <w:szCs w:val="18"/>
              </w:rPr>
              <w:t xml:space="preserve">the LEP-wide average.  </w:t>
            </w:r>
          </w:p>
        </w:tc>
      </w:tr>
    </w:tbl>
    <w:p w:rsidR="0041611E" w:rsidRPr="00D14630" w:rsidRDefault="0041611E" w:rsidP="0041611E">
      <w:pPr>
        <w:pStyle w:val="normalnumbered"/>
        <w:tabs>
          <w:tab w:val="clear" w:pos="2666"/>
        </w:tabs>
        <w:spacing w:after="120" w:line="264" w:lineRule="auto"/>
        <w:ind w:left="1112" w:right="40" w:firstLine="0"/>
        <w:rPr>
          <w:sz w:val="2"/>
          <w:szCs w:val="2"/>
        </w:rPr>
      </w:pPr>
    </w:p>
    <w:p w:rsidR="000A3998" w:rsidRDefault="000A3998" w:rsidP="00C66A67">
      <w:pPr>
        <w:spacing w:before="120" w:after="120" w:line="264" w:lineRule="auto"/>
        <w:jc w:val="both"/>
        <w:rPr>
          <w:rFonts w:ascii="Arial Bold" w:hAnsi="Arial Bold" w:cs="Arial"/>
          <w:b/>
          <w:color w:val="6C2768"/>
          <w:sz w:val="22"/>
          <w:szCs w:val="22"/>
          <w:lang w:eastAsia="en-GB"/>
        </w:rPr>
      </w:pPr>
    </w:p>
    <w:p w:rsidR="000A3998" w:rsidRDefault="000A3998" w:rsidP="00C66A67">
      <w:pPr>
        <w:spacing w:before="120" w:after="120" w:line="264" w:lineRule="auto"/>
        <w:jc w:val="both"/>
        <w:rPr>
          <w:rFonts w:ascii="Arial Bold" w:hAnsi="Arial Bold" w:cs="Arial"/>
          <w:b/>
          <w:color w:val="6C2768"/>
          <w:sz w:val="22"/>
          <w:szCs w:val="22"/>
          <w:lang w:eastAsia="en-GB"/>
        </w:rPr>
      </w:pPr>
    </w:p>
    <w:p w:rsidR="00C66A67" w:rsidRPr="007C694A" w:rsidRDefault="008F44E1" w:rsidP="00C66A67">
      <w:pPr>
        <w:spacing w:before="120" w:after="120" w:line="264" w:lineRule="auto"/>
        <w:jc w:val="both"/>
        <w:rPr>
          <w:rFonts w:ascii="Arial Bold" w:hAnsi="Arial Bold" w:cs="Arial"/>
          <w:b/>
          <w:color w:val="6C2768"/>
          <w:sz w:val="22"/>
          <w:szCs w:val="22"/>
          <w:lang w:eastAsia="en-GB"/>
        </w:rPr>
      </w:pPr>
      <w:r>
        <w:rPr>
          <w:rFonts w:ascii="Arial Bold" w:hAnsi="Arial Bold" w:cs="Arial"/>
          <w:b/>
          <w:color w:val="6C2768"/>
          <w:sz w:val="22"/>
          <w:szCs w:val="22"/>
          <w:lang w:eastAsia="en-GB"/>
        </w:rPr>
        <w:lastRenderedPageBreak/>
        <w:t>S</w:t>
      </w:r>
      <w:r w:rsidR="00C66A67" w:rsidRPr="007C694A">
        <w:rPr>
          <w:rFonts w:ascii="Arial Bold" w:hAnsi="Arial Bold" w:cs="Arial"/>
          <w:b/>
          <w:color w:val="6C2768"/>
          <w:sz w:val="22"/>
          <w:szCs w:val="22"/>
          <w:lang w:eastAsia="en-GB"/>
        </w:rPr>
        <w:t>cale of the Market</w:t>
      </w:r>
    </w:p>
    <w:p w:rsidR="00C66A67" w:rsidRPr="007C694A" w:rsidRDefault="00C66A67" w:rsidP="00C66A67">
      <w:pPr>
        <w:spacing w:before="120" w:after="120" w:line="264" w:lineRule="auto"/>
        <w:jc w:val="both"/>
        <w:rPr>
          <w:rFonts w:ascii="Arial" w:hAnsi="Arial" w:cs="Arial"/>
          <w:b/>
          <w:i/>
          <w:color w:val="660066"/>
          <w:sz w:val="20"/>
          <w:szCs w:val="20"/>
          <w:lang w:eastAsia="en-GB"/>
        </w:rPr>
      </w:pPr>
      <w:r w:rsidRPr="007C694A">
        <w:rPr>
          <w:rFonts w:ascii="Arial Bold" w:hAnsi="Arial Bold" w:cs="Arial"/>
          <w:b/>
          <w:i/>
          <w:color w:val="6C2768"/>
          <w:sz w:val="20"/>
          <w:szCs w:val="20"/>
          <w:lang w:eastAsia="en-GB"/>
        </w:rPr>
        <w:t>Visitor Numbers</w:t>
      </w:r>
    </w:p>
    <w:p w:rsidR="00C66A67" w:rsidRPr="00CC2D86" w:rsidRDefault="00C66A67" w:rsidP="00C66A67">
      <w:pPr>
        <w:pStyle w:val="normalnumbered"/>
        <w:numPr>
          <w:ilvl w:val="1"/>
          <w:numId w:val="1"/>
        </w:numPr>
        <w:tabs>
          <w:tab w:val="clear" w:pos="2666"/>
          <w:tab w:val="num" w:pos="709"/>
        </w:tabs>
        <w:spacing w:line="264" w:lineRule="auto"/>
        <w:ind w:left="0" w:right="40" w:firstLine="0"/>
        <w:rPr>
          <w:sz w:val="18"/>
          <w:szCs w:val="18"/>
        </w:rPr>
      </w:pPr>
      <w:r w:rsidRPr="002E3E16">
        <w:rPr>
          <w:sz w:val="18"/>
          <w:szCs w:val="18"/>
        </w:rPr>
        <w:t>The STEAM (Scarborough Tourism Economic Activity Monitor) model uses a range of local inputs to monitor trends in visitor activity and, in doing so, demonstrates the significance of th</w:t>
      </w:r>
      <w:r>
        <w:rPr>
          <w:sz w:val="18"/>
          <w:szCs w:val="18"/>
        </w:rPr>
        <w:t>e visitor economy to Lancashire</w:t>
      </w:r>
      <w:r w:rsidRPr="00294741">
        <w:rPr>
          <w:rFonts w:cs="Arial"/>
          <w:sz w:val="18"/>
          <w:szCs w:val="18"/>
        </w:rPr>
        <w:t xml:space="preserve">. </w:t>
      </w:r>
      <w:r>
        <w:rPr>
          <w:rFonts w:cs="Arial"/>
          <w:sz w:val="18"/>
          <w:szCs w:val="18"/>
        </w:rPr>
        <w:t xml:space="preserve"> STEAM </w:t>
      </w:r>
      <w:r w:rsidRPr="00294741">
        <w:rPr>
          <w:sz w:val="18"/>
          <w:szCs w:val="18"/>
        </w:rPr>
        <w:t>estimate</w:t>
      </w:r>
      <w:r>
        <w:rPr>
          <w:sz w:val="18"/>
          <w:szCs w:val="18"/>
        </w:rPr>
        <w:t xml:space="preserve">s that </w:t>
      </w:r>
      <w:r w:rsidRPr="00294741">
        <w:rPr>
          <w:sz w:val="18"/>
          <w:szCs w:val="18"/>
        </w:rPr>
        <w:t>79 million visitor days were spent in the LEP area in 2013</w:t>
      </w:r>
      <w:r>
        <w:rPr>
          <w:rStyle w:val="FootnoteReference"/>
          <w:sz w:val="18"/>
          <w:szCs w:val="18"/>
        </w:rPr>
        <w:footnoteReference w:id="19"/>
      </w:r>
      <w:r w:rsidRPr="00294741">
        <w:rPr>
          <w:sz w:val="18"/>
          <w:szCs w:val="18"/>
        </w:rPr>
        <w:t xml:space="preserve"> (+6% on 2009 levels)</w:t>
      </w:r>
      <w:r>
        <w:rPr>
          <w:sz w:val="18"/>
          <w:szCs w:val="18"/>
        </w:rPr>
        <w:t>,</w:t>
      </w:r>
      <w:r w:rsidRPr="00294741">
        <w:rPr>
          <w:sz w:val="18"/>
          <w:szCs w:val="18"/>
        </w:rPr>
        <w:t xml:space="preserve"> more than two fifths of which were in </w:t>
      </w:r>
      <w:r>
        <w:rPr>
          <w:sz w:val="18"/>
          <w:szCs w:val="18"/>
        </w:rPr>
        <w:t xml:space="preserve">Blackpool, Fylde and Wyre, reflecting the concentration of major attractions in this area.  Visitor </w:t>
      </w:r>
      <w:r w:rsidRPr="00294741">
        <w:rPr>
          <w:sz w:val="18"/>
          <w:szCs w:val="18"/>
        </w:rPr>
        <w:t xml:space="preserve">days in </w:t>
      </w:r>
      <w:r>
        <w:rPr>
          <w:sz w:val="18"/>
          <w:szCs w:val="18"/>
        </w:rPr>
        <w:t xml:space="preserve">the </w:t>
      </w:r>
      <w:r w:rsidRPr="00294741">
        <w:rPr>
          <w:sz w:val="18"/>
          <w:szCs w:val="18"/>
        </w:rPr>
        <w:t xml:space="preserve">other sub-geographies </w:t>
      </w:r>
      <w:r>
        <w:rPr>
          <w:sz w:val="18"/>
          <w:szCs w:val="18"/>
        </w:rPr>
        <w:t>were also significant, ranging</w:t>
      </w:r>
      <w:r w:rsidRPr="00294741">
        <w:rPr>
          <w:sz w:val="18"/>
          <w:szCs w:val="18"/>
        </w:rPr>
        <w:t xml:space="preserve"> from 3 million in West Lancashire to 18 million in East Lancashire. </w:t>
      </w:r>
    </w:p>
    <w:p w:rsidR="00C66A67" w:rsidRPr="001178C8" w:rsidRDefault="00C66A67" w:rsidP="00C66A67">
      <w:pPr>
        <w:pStyle w:val="normalnumbered"/>
        <w:numPr>
          <w:ilvl w:val="1"/>
          <w:numId w:val="1"/>
        </w:numPr>
        <w:tabs>
          <w:tab w:val="clear" w:pos="2666"/>
          <w:tab w:val="num" w:pos="709"/>
        </w:tabs>
        <w:spacing w:line="264" w:lineRule="auto"/>
        <w:ind w:left="0" w:right="40" w:firstLine="0"/>
        <w:rPr>
          <w:sz w:val="18"/>
          <w:szCs w:val="18"/>
        </w:rPr>
      </w:pPr>
      <w:r w:rsidRPr="002E3E16">
        <w:rPr>
          <w:sz w:val="18"/>
          <w:szCs w:val="18"/>
        </w:rPr>
        <w:t xml:space="preserve">The </w:t>
      </w:r>
      <w:r>
        <w:rPr>
          <w:sz w:val="18"/>
          <w:szCs w:val="18"/>
        </w:rPr>
        <w:t xml:space="preserve">STEAM </w:t>
      </w:r>
      <w:r w:rsidRPr="002E3E16">
        <w:rPr>
          <w:sz w:val="18"/>
          <w:szCs w:val="18"/>
        </w:rPr>
        <w:t xml:space="preserve">model </w:t>
      </w:r>
      <w:r w:rsidR="00931A80">
        <w:rPr>
          <w:sz w:val="18"/>
          <w:szCs w:val="18"/>
        </w:rPr>
        <w:t>reported</w:t>
      </w:r>
      <w:r>
        <w:rPr>
          <w:sz w:val="18"/>
          <w:szCs w:val="18"/>
        </w:rPr>
        <w:t xml:space="preserve"> an increase of more than </w:t>
      </w:r>
      <w:r w:rsidRPr="002E3E16">
        <w:rPr>
          <w:sz w:val="18"/>
          <w:szCs w:val="18"/>
        </w:rPr>
        <w:t xml:space="preserve">4 million </w:t>
      </w:r>
      <w:r>
        <w:rPr>
          <w:sz w:val="18"/>
          <w:szCs w:val="18"/>
        </w:rPr>
        <w:t xml:space="preserve">visitor days </w:t>
      </w:r>
      <w:r w:rsidRPr="002E3E16">
        <w:rPr>
          <w:sz w:val="18"/>
          <w:szCs w:val="18"/>
        </w:rPr>
        <w:t xml:space="preserve">between 2009 and 2013, reflecting, in part at least, a rise in the number of people taking domestic holidays </w:t>
      </w:r>
      <w:r>
        <w:rPr>
          <w:sz w:val="18"/>
          <w:szCs w:val="18"/>
        </w:rPr>
        <w:t xml:space="preserve">and day trips </w:t>
      </w:r>
      <w:r w:rsidRPr="002E3E16">
        <w:rPr>
          <w:sz w:val="18"/>
          <w:szCs w:val="18"/>
        </w:rPr>
        <w:t>during the recession</w:t>
      </w:r>
      <w:r>
        <w:rPr>
          <w:rStyle w:val="FootnoteReference"/>
          <w:sz w:val="18"/>
          <w:szCs w:val="18"/>
        </w:rPr>
        <w:footnoteReference w:id="20"/>
      </w:r>
      <w:r w:rsidRPr="002E3E16">
        <w:rPr>
          <w:sz w:val="18"/>
          <w:szCs w:val="18"/>
        </w:rPr>
        <w:t xml:space="preserve">. Over this period, East Lancashire recorded the highest absolute increase </w:t>
      </w:r>
      <w:r>
        <w:rPr>
          <w:sz w:val="18"/>
          <w:szCs w:val="18"/>
        </w:rPr>
        <w:t xml:space="preserve">in visitor days </w:t>
      </w:r>
      <w:r w:rsidRPr="002E3E16">
        <w:rPr>
          <w:sz w:val="18"/>
          <w:szCs w:val="18"/>
        </w:rPr>
        <w:t>while West Lancashire recorded the highest percentage increase, albeit from a significantly lower base than the other sub-geographies.</w:t>
      </w:r>
    </w:p>
    <w:tbl>
      <w:tblPr>
        <w:tblW w:w="477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57"/>
        <w:gridCol w:w="1091"/>
        <w:gridCol w:w="1092"/>
        <w:gridCol w:w="1092"/>
        <w:gridCol w:w="889"/>
      </w:tblGrid>
      <w:tr w:rsidR="00C66A67" w:rsidRPr="00CE4021" w:rsidTr="003F520D">
        <w:trPr>
          <w:trHeight w:val="327"/>
        </w:trPr>
        <w:tc>
          <w:tcPr>
            <w:tcW w:w="5000" w:type="pct"/>
            <w:gridSpan w:val="5"/>
            <w:shd w:val="clear" w:color="auto" w:fill="660066"/>
            <w:vAlign w:val="center"/>
          </w:tcPr>
          <w:p w:rsidR="00C66A67" w:rsidRDefault="00C66A67" w:rsidP="003A0984">
            <w:pPr>
              <w:rPr>
                <w:rFonts w:ascii="Arial" w:hAnsi="Arial" w:cs="Arial"/>
                <w:b/>
                <w:bCs/>
                <w:color w:val="FFFFFF"/>
                <w:sz w:val="18"/>
                <w:szCs w:val="18"/>
              </w:rPr>
            </w:pPr>
            <w:r>
              <w:rPr>
                <w:rFonts w:ascii="Arial" w:hAnsi="Arial" w:cs="Arial"/>
                <w:b/>
                <w:bCs/>
                <w:color w:val="FFFFFF"/>
                <w:sz w:val="18"/>
                <w:szCs w:val="18"/>
              </w:rPr>
              <w:t>Lancashire Visitor Days</w:t>
            </w:r>
          </w:p>
        </w:tc>
      </w:tr>
      <w:tr w:rsidR="00C66A67" w:rsidRPr="00CE4021" w:rsidTr="003F520D">
        <w:trPr>
          <w:trHeight w:val="255"/>
        </w:trPr>
        <w:tc>
          <w:tcPr>
            <w:tcW w:w="1807" w:type="pct"/>
            <w:shd w:val="clear" w:color="auto" w:fill="auto"/>
            <w:noWrap/>
            <w:vAlign w:val="center"/>
            <w:hideMark/>
          </w:tcPr>
          <w:p w:rsidR="00C66A67" w:rsidRPr="00CE4021" w:rsidRDefault="00C66A67" w:rsidP="003A0984">
            <w:pPr>
              <w:rPr>
                <w:rFonts w:ascii="Arial" w:hAnsi="Arial" w:cs="Arial"/>
                <w:sz w:val="18"/>
                <w:szCs w:val="18"/>
              </w:rPr>
            </w:pPr>
          </w:p>
        </w:tc>
        <w:tc>
          <w:tcPr>
            <w:tcW w:w="1674" w:type="pct"/>
            <w:gridSpan w:val="2"/>
            <w:shd w:val="clear" w:color="auto" w:fill="auto"/>
            <w:noWrap/>
            <w:vAlign w:val="center"/>
            <w:hideMark/>
          </w:tcPr>
          <w:p w:rsidR="00C66A67" w:rsidRPr="00C62FF7" w:rsidRDefault="00C66A67" w:rsidP="003A0984">
            <w:pPr>
              <w:jc w:val="center"/>
              <w:rPr>
                <w:rFonts w:ascii="Arial" w:hAnsi="Arial" w:cs="Arial"/>
                <w:b/>
                <w:sz w:val="18"/>
                <w:szCs w:val="20"/>
              </w:rPr>
            </w:pPr>
            <w:r w:rsidRPr="00C62FF7">
              <w:rPr>
                <w:rFonts w:ascii="Arial" w:hAnsi="Arial" w:cs="Arial"/>
                <w:b/>
                <w:sz w:val="18"/>
                <w:szCs w:val="20"/>
              </w:rPr>
              <w:t>2013</w:t>
            </w:r>
          </w:p>
        </w:tc>
        <w:tc>
          <w:tcPr>
            <w:tcW w:w="1519" w:type="pct"/>
            <w:gridSpan w:val="2"/>
            <w:shd w:val="clear" w:color="auto" w:fill="auto"/>
            <w:vAlign w:val="center"/>
          </w:tcPr>
          <w:p w:rsidR="00C66A67" w:rsidRPr="00C62FF7" w:rsidRDefault="00C66A67" w:rsidP="003A0984">
            <w:pPr>
              <w:jc w:val="center"/>
              <w:rPr>
                <w:rFonts w:ascii="Arial" w:hAnsi="Arial" w:cs="Arial"/>
                <w:b/>
                <w:sz w:val="18"/>
                <w:szCs w:val="20"/>
              </w:rPr>
            </w:pPr>
            <w:r w:rsidRPr="00C62FF7">
              <w:rPr>
                <w:rFonts w:ascii="Arial" w:hAnsi="Arial" w:cs="Arial"/>
                <w:b/>
                <w:sz w:val="18"/>
                <w:szCs w:val="20"/>
              </w:rPr>
              <w:t>Change 2009-2013</w:t>
            </w:r>
          </w:p>
        </w:tc>
      </w:tr>
      <w:tr w:rsidR="00C66A67" w:rsidRPr="00CE4021" w:rsidTr="003F520D">
        <w:trPr>
          <w:trHeight w:val="255"/>
        </w:trPr>
        <w:tc>
          <w:tcPr>
            <w:tcW w:w="1807" w:type="pct"/>
            <w:shd w:val="clear" w:color="auto" w:fill="auto"/>
            <w:noWrap/>
            <w:vAlign w:val="center"/>
            <w:hideMark/>
          </w:tcPr>
          <w:p w:rsidR="00C66A67" w:rsidRPr="00CE4021" w:rsidRDefault="00C66A67" w:rsidP="003A0984">
            <w:pPr>
              <w:jc w:val="center"/>
              <w:rPr>
                <w:rFonts w:ascii="Arial" w:hAnsi="Arial" w:cs="Arial"/>
                <w:sz w:val="18"/>
                <w:szCs w:val="18"/>
              </w:rPr>
            </w:pPr>
          </w:p>
        </w:tc>
        <w:tc>
          <w:tcPr>
            <w:tcW w:w="837" w:type="pct"/>
            <w:shd w:val="clear" w:color="auto" w:fill="auto"/>
            <w:noWrap/>
            <w:vAlign w:val="center"/>
            <w:hideMark/>
          </w:tcPr>
          <w:p w:rsidR="00C66A67" w:rsidRPr="00C62FF7" w:rsidRDefault="00C66A67" w:rsidP="003A0984">
            <w:pPr>
              <w:jc w:val="right"/>
              <w:rPr>
                <w:rFonts w:ascii="Arial" w:hAnsi="Arial" w:cs="Arial"/>
                <w:b/>
                <w:sz w:val="18"/>
                <w:szCs w:val="20"/>
              </w:rPr>
            </w:pPr>
            <w:r w:rsidRPr="00C62FF7">
              <w:rPr>
                <w:rFonts w:ascii="Arial" w:hAnsi="Arial" w:cs="Arial"/>
                <w:b/>
                <w:sz w:val="18"/>
                <w:szCs w:val="20"/>
              </w:rPr>
              <w:t>No.</w:t>
            </w:r>
          </w:p>
        </w:tc>
        <w:tc>
          <w:tcPr>
            <w:tcW w:w="837" w:type="pct"/>
            <w:vAlign w:val="center"/>
          </w:tcPr>
          <w:p w:rsidR="00C66A67" w:rsidRPr="00C62FF7" w:rsidRDefault="00C66A67" w:rsidP="003A0984">
            <w:pPr>
              <w:jc w:val="right"/>
              <w:rPr>
                <w:rFonts w:ascii="Arial" w:hAnsi="Arial" w:cs="Arial"/>
                <w:b/>
                <w:sz w:val="18"/>
                <w:szCs w:val="20"/>
              </w:rPr>
            </w:pPr>
            <w:r>
              <w:rPr>
                <w:rFonts w:ascii="Arial" w:hAnsi="Arial" w:cs="Arial"/>
                <w:b/>
                <w:sz w:val="18"/>
                <w:szCs w:val="20"/>
              </w:rPr>
              <w:t>%</w:t>
            </w:r>
          </w:p>
        </w:tc>
        <w:tc>
          <w:tcPr>
            <w:tcW w:w="837" w:type="pct"/>
            <w:shd w:val="clear" w:color="auto" w:fill="auto"/>
            <w:vAlign w:val="center"/>
          </w:tcPr>
          <w:p w:rsidR="00C66A67" w:rsidRPr="00C62FF7" w:rsidRDefault="00C66A67" w:rsidP="003A0984">
            <w:pPr>
              <w:jc w:val="right"/>
              <w:rPr>
                <w:rFonts w:ascii="Arial" w:hAnsi="Arial" w:cs="Arial"/>
                <w:b/>
                <w:sz w:val="18"/>
                <w:szCs w:val="20"/>
              </w:rPr>
            </w:pPr>
            <w:r w:rsidRPr="00C62FF7">
              <w:rPr>
                <w:rFonts w:ascii="Arial" w:hAnsi="Arial" w:cs="Arial"/>
                <w:b/>
                <w:sz w:val="18"/>
                <w:szCs w:val="20"/>
              </w:rPr>
              <w:t>No.</w:t>
            </w:r>
          </w:p>
        </w:tc>
        <w:tc>
          <w:tcPr>
            <w:tcW w:w="682" w:type="pct"/>
            <w:shd w:val="clear" w:color="auto" w:fill="auto"/>
            <w:vAlign w:val="center"/>
          </w:tcPr>
          <w:p w:rsidR="00C66A67" w:rsidRPr="00C62FF7" w:rsidRDefault="00C66A67" w:rsidP="003A0984">
            <w:pPr>
              <w:jc w:val="right"/>
              <w:rPr>
                <w:rFonts w:ascii="Arial" w:hAnsi="Arial" w:cs="Arial"/>
                <w:b/>
                <w:sz w:val="18"/>
                <w:szCs w:val="20"/>
              </w:rPr>
            </w:pPr>
            <w:r w:rsidRPr="00C62FF7">
              <w:rPr>
                <w:rFonts w:ascii="Arial" w:hAnsi="Arial" w:cs="Arial"/>
                <w:b/>
                <w:sz w:val="18"/>
                <w:szCs w:val="20"/>
              </w:rPr>
              <w:t>%</w:t>
            </w:r>
          </w:p>
        </w:tc>
      </w:tr>
      <w:tr w:rsidR="00C66A67" w:rsidRPr="00CE4021" w:rsidTr="003F520D">
        <w:trPr>
          <w:trHeight w:val="255"/>
        </w:trPr>
        <w:tc>
          <w:tcPr>
            <w:tcW w:w="1807" w:type="pct"/>
            <w:shd w:val="clear" w:color="auto" w:fill="D9D9D9" w:themeFill="background1" w:themeFillShade="D9"/>
            <w:noWrap/>
            <w:vAlign w:val="center"/>
            <w:hideMark/>
          </w:tcPr>
          <w:p w:rsidR="00C66A67" w:rsidRPr="009E0D28" w:rsidRDefault="00C66A67" w:rsidP="003A0984">
            <w:pPr>
              <w:rPr>
                <w:rFonts w:ascii="Arial" w:hAnsi="Arial" w:cs="Arial"/>
                <w:sz w:val="18"/>
                <w:szCs w:val="18"/>
              </w:rPr>
            </w:pPr>
            <w:r w:rsidRPr="009E0D28">
              <w:rPr>
                <w:rFonts w:ascii="Arial" w:hAnsi="Arial" w:cs="Arial"/>
                <w:sz w:val="18"/>
                <w:szCs w:val="18"/>
              </w:rPr>
              <w:t>Lancashire</w:t>
            </w:r>
          </w:p>
        </w:tc>
        <w:tc>
          <w:tcPr>
            <w:tcW w:w="837" w:type="pct"/>
            <w:shd w:val="clear" w:color="auto" w:fill="D9D9D9" w:themeFill="background1" w:themeFillShade="D9"/>
            <w:noWrap/>
            <w:vAlign w:val="center"/>
            <w:hideMark/>
          </w:tcPr>
          <w:p w:rsidR="00C66A67" w:rsidRPr="009E0D28" w:rsidRDefault="00C66A67" w:rsidP="003A0984">
            <w:pPr>
              <w:jc w:val="right"/>
              <w:rPr>
                <w:rFonts w:ascii="Arial" w:hAnsi="Arial" w:cs="Arial"/>
                <w:sz w:val="18"/>
                <w:szCs w:val="20"/>
              </w:rPr>
            </w:pPr>
            <w:r w:rsidRPr="009E0D28">
              <w:rPr>
                <w:rFonts w:ascii="Arial" w:hAnsi="Arial" w:cs="Arial"/>
                <w:sz w:val="18"/>
                <w:szCs w:val="20"/>
              </w:rPr>
              <w:t>79.1m</w:t>
            </w:r>
          </w:p>
        </w:tc>
        <w:tc>
          <w:tcPr>
            <w:tcW w:w="837" w:type="pct"/>
            <w:shd w:val="clear" w:color="auto" w:fill="D9D9D9" w:themeFill="background1" w:themeFillShade="D9"/>
            <w:vAlign w:val="center"/>
          </w:tcPr>
          <w:p w:rsidR="00C66A67" w:rsidRPr="009E0D28" w:rsidRDefault="00C66A67" w:rsidP="003A0984">
            <w:pPr>
              <w:jc w:val="right"/>
              <w:rPr>
                <w:rFonts w:ascii="Arial" w:hAnsi="Arial" w:cs="Arial"/>
                <w:sz w:val="18"/>
                <w:szCs w:val="20"/>
              </w:rPr>
            </w:pPr>
            <w:r w:rsidRPr="009E0D28">
              <w:rPr>
                <w:rFonts w:ascii="Arial" w:hAnsi="Arial" w:cs="Arial"/>
                <w:sz w:val="18"/>
                <w:szCs w:val="20"/>
              </w:rPr>
              <w:t>100%</w:t>
            </w:r>
          </w:p>
        </w:tc>
        <w:tc>
          <w:tcPr>
            <w:tcW w:w="837" w:type="pct"/>
            <w:shd w:val="clear" w:color="auto" w:fill="D9D9D9" w:themeFill="background1" w:themeFillShade="D9"/>
            <w:vAlign w:val="center"/>
          </w:tcPr>
          <w:p w:rsidR="00C66A67" w:rsidRPr="009E0D28" w:rsidRDefault="00C66A67" w:rsidP="003A0984">
            <w:pPr>
              <w:jc w:val="right"/>
              <w:rPr>
                <w:rFonts w:ascii="Arial" w:hAnsi="Arial" w:cs="Arial"/>
                <w:sz w:val="18"/>
                <w:szCs w:val="20"/>
              </w:rPr>
            </w:pPr>
            <w:r w:rsidRPr="009E0D28">
              <w:rPr>
                <w:rFonts w:ascii="Arial" w:hAnsi="Arial" w:cs="Arial"/>
                <w:sz w:val="18"/>
                <w:szCs w:val="20"/>
              </w:rPr>
              <w:t>4.3m</w:t>
            </w:r>
          </w:p>
        </w:tc>
        <w:tc>
          <w:tcPr>
            <w:tcW w:w="682" w:type="pct"/>
            <w:shd w:val="clear" w:color="auto" w:fill="D9D9D9" w:themeFill="background1" w:themeFillShade="D9"/>
            <w:vAlign w:val="center"/>
          </w:tcPr>
          <w:p w:rsidR="00C66A67" w:rsidRPr="000D7557" w:rsidRDefault="00C66A67" w:rsidP="003A0984">
            <w:pPr>
              <w:jc w:val="right"/>
              <w:rPr>
                <w:rFonts w:ascii="Arial" w:hAnsi="Arial" w:cs="Arial"/>
                <w:sz w:val="18"/>
                <w:szCs w:val="20"/>
              </w:rPr>
            </w:pPr>
            <w:r w:rsidRPr="000D7557">
              <w:rPr>
                <w:rFonts w:ascii="Arial" w:hAnsi="Arial" w:cs="Arial"/>
                <w:sz w:val="18"/>
                <w:szCs w:val="20"/>
              </w:rPr>
              <w:t>6%</w:t>
            </w:r>
          </w:p>
        </w:tc>
      </w:tr>
      <w:tr w:rsidR="00C66A67" w:rsidRPr="00CE4021" w:rsidTr="003F520D">
        <w:trPr>
          <w:trHeight w:val="255"/>
        </w:trPr>
        <w:tc>
          <w:tcPr>
            <w:tcW w:w="1807" w:type="pct"/>
            <w:shd w:val="clear" w:color="auto" w:fill="auto"/>
            <w:noWrap/>
            <w:vAlign w:val="center"/>
            <w:hideMark/>
          </w:tcPr>
          <w:p w:rsidR="00C66A67" w:rsidRPr="009E0D28" w:rsidRDefault="00C66A67" w:rsidP="003A0984">
            <w:pPr>
              <w:rPr>
                <w:rFonts w:ascii="Arial" w:hAnsi="Arial" w:cs="Arial"/>
                <w:sz w:val="18"/>
                <w:szCs w:val="20"/>
              </w:rPr>
            </w:pPr>
            <w:r w:rsidRPr="009E0D28">
              <w:rPr>
                <w:rFonts w:ascii="Arial" w:hAnsi="Arial" w:cs="Arial"/>
                <w:sz w:val="18"/>
                <w:szCs w:val="20"/>
              </w:rPr>
              <w:t>Blackpool, Fylde and Wyre</w:t>
            </w:r>
          </w:p>
        </w:tc>
        <w:tc>
          <w:tcPr>
            <w:tcW w:w="837" w:type="pct"/>
            <w:shd w:val="clear" w:color="auto" w:fill="auto"/>
            <w:noWrap/>
            <w:vAlign w:val="center"/>
            <w:hideMark/>
          </w:tcPr>
          <w:p w:rsidR="00C66A67" w:rsidRPr="009E0D28" w:rsidRDefault="00C66A67" w:rsidP="003A0984">
            <w:pPr>
              <w:jc w:val="right"/>
              <w:rPr>
                <w:rFonts w:ascii="Arial" w:hAnsi="Arial" w:cs="Arial"/>
                <w:sz w:val="18"/>
                <w:szCs w:val="20"/>
              </w:rPr>
            </w:pPr>
            <w:r w:rsidRPr="009E0D28">
              <w:rPr>
                <w:rFonts w:ascii="Arial" w:hAnsi="Arial" w:cs="Arial"/>
                <w:sz w:val="18"/>
                <w:szCs w:val="20"/>
              </w:rPr>
              <w:t>34.1m</w:t>
            </w:r>
          </w:p>
        </w:tc>
        <w:tc>
          <w:tcPr>
            <w:tcW w:w="837" w:type="pct"/>
            <w:vAlign w:val="center"/>
          </w:tcPr>
          <w:p w:rsidR="00C66A67" w:rsidRPr="009E0D28" w:rsidRDefault="00C66A67" w:rsidP="003A0984">
            <w:pPr>
              <w:jc w:val="right"/>
              <w:rPr>
                <w:rFonts w:ascii="Arial" w:hAnsi="Arial" w:cs="Arial"/>
                <w:sz w:val="18"/>
                <w:szCs w:val="18"/>
              </w:rPr>
            </w:pPr>
            <w:r w:rsidRPr="009E0D28">
              <w:rPr>
                <w:rFonts w:ascii="Arial" w:hAnsi="Arial" w:cs="Arial"/>
                <w:sz w:val="18"/>
                <w:szCs w:val="18"/>
              </w:rPr>
              <w:t>43%</w:t>
            </w:r>
          </w:p>
        </w:tc>
        <w:tc>
          <w:tcPr>
            <w:tcW w:w="837" w:type="pct"/>
            <w:vAlign w:val="center"/>
          </w:tcPr>
          <w:p w:rsidR="00C66A67" w:rsidRPr="009E0D28" w:rsidRDefault="00C66A67" w:rsidP="003A0984">
            <w:pPr>
              <w:jc w:val="right"/>
              <w:rPr>
                <w:rFonts w:ascii="Arial" w:hAnsi="Arial" w:cs="Arial"/>
                <w:sz w:val="18"/>
                <w:szCs w:val="20"/>
              </w:rPr>
            </w:pPr>
            <w:r w:rsidRPr="009E0D28">
              <w:rPr>
                <w:rFonts w:ascii="Arial" w:hAnsi="Arial" w:cs="Arial"/>
                <w:sz w:val="18"/>
                <w:szCs w:val="20"/>
              </w:rPr>
              <w:t>0.8m</w:t>
            </w:r>
          </w:p>
        </w:tc>
        <w:tc>
          <w:tcPr>
            <w:tcW w:w="682" w:type="pct"/>
            <w:vAlign w:val="center"/>
          </w:tcPr>
          <w:p w:rsidR="00C66A67" w:rsidRPr="000D7557" w:rsidRDefault="00C66A67" w:rsidP="003A0984">
            <w:pPr>
              <w:jc w:val="right"/>
              <w:rPr>
                <w:rFonts w:ascii="Arial" w:hAnsi="Arial" w:cs="Arial"/>
                <w:sz w:val="18"/>
                <w:szCs w:val="20"/>
              </w:rPr>
            </w:pPr>
            <w:r w:rsidRPr="000D7557">
              <w:rPr>
                <w:rFonts w:ascii="Arial" w:hAnsi="Arial" w:cs="Arial"/>
                <w:sz w:val="18"/>
                <w:szCs w:val="20"/>
              </w:rPr>
              <w:t>2%</w:t>
            </w:r>
          </w:p>
        </w:tc>
      </w:tr>
      <w:tr w:rsidR="00C66A67" w:rsidRPr="00CE4021" w:rsidTr="003F520D">
        <w:trPr>
          <w:trHeight w:val="255"/>
        </w:trPr>
        <w:tc>
          <w:tcPr>
            <w:tcW w:w="1807" w:type="pct"/>
            <w:shd w:val="clear" w:color="auto" w:fill="auto"/>
            <w:noWrap/>
            <w:vAlign w:val="center"/>
            <w:hideMark/>
          </w:tcPr>
          <w:p w:rsidR="00C66A67" w:rsidRPr="009E0D28" w:rsidRDefault="00C66A67" w:rsidP="003A0984">
            <w:pPr>
              <w:rPr>
                <w:rFonts w:ascii="Arial" w:hAnsi="Arial" w:cs="Arial"/>
                <w:sz w:val="18"/>
                <w:szCs w:val="20"/>
              </w:rPr>
            </w:pPr>
            <w:r w:rsidRPr="009E0D28">
              <w:rPr>
                <w:rFonts w:ascii="Arial" w:hAnsi="Arial" w:cs="Arial"/>
                <w:sz w:val="18"/>
                <w:szCs w:val="20"/>
              </w:rPr>
              <w:t>East Lancashire</w:t>
            </w:r>
          </w:p>
        </w:tc>
        <w:tc>
          <w:tcPr>
            <w:tcW w:w="837" w:type="pct"/>
            <w:shd w:val="clear" w:color="auto" w:fill="auto"/>
            <w:noWrap/>
            <w:vAlign w:val="center"/>
            <w:hideMark/>
          </w:tcPr>
          <w:p w:rsidR="00C66A67" w:rsidRPr="009E0D28" w:rsidRDefault="00C66A67" w:rsidP="003A0984">
            <w:pPr>
              <w:jc w:val="right"/>
              <w:rPr>
                <w:rFonts w:ascii="Arial" w:hAnsi="Arial" w:cs="Arial"/>
                <w:sz w:val="18"/>
                <w:szCs w:val="20"/>
              </w:rPr>
            </w:pPr>
            <w:r w:rsidRPr="009E0D28">
              <w:rPr>
                <w:rFonts w:ascii="Arial" w:hAnsi="Arial" w:cs="Arial"/>
                <w:sz w:val="18"/>
                <w:szCs w:val="20"/>
              </w:rPr>
              <w:t>18.0m</w:t>
            </w:r>
          </w:p>
        </w:tc>
        <w:tc>
          <w:tcPr>
            <w:tcW w:w="837" w:type="pct"/>
            <w:vAlign w:val="center"/>
          </w:tcPr>
          <w:p w:rsidR="00C66A67" w:rsidRPr="009E0D28" w:rsidRDefault="00C66A67" w:rsidP="003A0984">
            <w:pPr>
              <w:jc w:val="right"/>
              <w:rPr>
                <w:rFonts w:ascii="Arial" w:hAnsi="Arial" w:cs="Arial"/>
                <w:sz w:val="18"/>
                <w:szCs w:val="18"/>
              </w:rPr>
            </w:pPr>
            <w:r w:rsidRPr="009E0D28">
              <w:rPr>
                <w:rFonts w:ascii="Arial" w:hAnsi="Arial" w:cs="Arial"/>
                <w:sz w:val="18"/>
                <w:szCs w:val="18"/>
              </w:rPr>
              <w:t>23%</w:t>
            </w:r>
          </w:p>
        </w:tc>
        <w:tc>
          <w:tcPr>
            <w:tcW w:w="837" w:type="pct"/>
            <w:vAlign w:val="center"/>
          </w:tcPr>
          <w:p w:rsidR="00C66A67" w:rsidRPr="009E0D28" w:rsidRDefault="00C66A67" w:rsidP="003A0984">
            <w:pPr>
              <w:jc w:val="right"/>
              <w:rPr>
                <w:rFonts w:ascii="Arial" w:hAnsi="Arial" w:cs="Arial"/>
                <w:sz w:val="18"/>
                <w:szCs w:val="20"/>
              </w:rPr>
            </w:pPr>
            <w:r w:rsidRPr="009E0D28">
              <w:rPr>
                <w:rFonts w:ascii="Arial" w:hAnsi="Arial" w:cs="Arial"/>
                <w:sz w:val="18"/>
                <w:szCs w:val="20"/>
              </w:rPr>
              <w:t>1.5m</w:t>
            </w:r>
          </w:p>
        </w:tc>
        <w:tc>
          <w:tcPr>
            <w:tcW w:w="682" w:type="pct"/>
            <w:vAlign w:val="center"/>
          </w:tcPr>
          <w:p w:rsidR="00C66A67" w:rsidRPr="000D7557" w:rsidRDefault="00C66A67" w:rsidP="003A0984">
            <w:pPr>
              <w:jc w:val="right"/>
              <w:rPr>
                <w:rFonts w:ascii="Arial" w:hAnsi="Arial" w:cs="Arial"/>
                <w:sz w:val="18"/>
                <w:szCs w:val="20"/>
              </w:rPr>
            </w:pPr>
            <w:r w:rsidRPr="000D7557">
              <w:rPr>
                <w:rFonts w:ascii="Arial" w:hAnsi="Arial" w:cs="Arial"/>
                <w:sz w:val="18"/>
                <w:szCs w:val="20"/>
              </w:rPr>
              <w:t>9%</w:t>
            </w:r>
          </w:p>
        </w:tc>
      </w:tr>
      <w:tr w:rsidR="00C66A67" w:rsidRPr="00CE4021" w:rsidTr="003F520D">
        <w:trPr>
          <w:trHeight w:val="255"/>
        </w:trPr>
        <w:tc>
          <w:tcPr>
            <w:tcW w:w="1807" w:type="pct"/>
            <w:shd w:val="clear" w:color="auto" w:fill="auto"/>
            <w:noWrap/>
            <w:vAlign w:val="center"/>
            <w:hideMark/>
          </w:tcPr>
          <w:p w:rsidR="00C66A67" w:rsidRPr="009E0D28" w:rsidRDefault="00C66A67" w:rsidP="003A0984">
            <w:pPr>
              <w:rPr>
                <w:rFonts w:ascii="Arial" w:hAnsi="Arial" w:cs="Arial"/>
                <w:sz w:val="18"/>
                <w:szCs w:val="20"/>
              </w:rPr>
            </w:pPr>
            <w:r w:rsidRPr="009E0D28">
              <w:rPr>
                <w:rFonts w:ascii="Arial" w:hAnsi="Arial" w:cs="Arial"/>
                <w:sz w:val="18"/>
                <w:szCs w:val="20"/>
              </w:rPr>
              <w:t>Central Lancashire</w:t>
            </w:r>
          </w:p>
        </w:tc>
        <w:tc>
          <w:tcPr>
            <w:tcW w:w="837" w:type="pct"/>
            <w:shd w:val="clear" w:color="auto" w:fill="auto"/>
            <w:noWrap/>
            <w:vAlign w:val="center"/>
            <w:hideMark/>
          </w:tcPr>
          <w:p w:rsidR="00C66A67" w:rsidRPr="009E0D28" w:rsidRDefault="00C66A67" w:rsidP="003A0984">
            <w:pPr>
              <w:jc w:val="right"/>
              <w:rPr>
                <w:rFonts w:ascii="Arial" w:hAnsi="Arial" w:cs="Arial"/>
                <w:sz w:val="18"/>
                <w:szCs w:val="20"/>
              </w:rPr>
            </w:pPr>
            <w:r w:rsidRPr="009E0D28">
              <w:rPr>
                <w:rFonts w:ascii="Arial" w:hAnsi="Arial" w:cs="Arial"/>
                <w:sz w:val="18"/>
                <w:szCs w:val="20"/>
              </w:rPr>
              <w:t>14.5m</w:t>
            </w:r>
          </w:p>
        </w:tc>
        <w:tc>
          <w:tcPr>
            <w:tcW w:w="837" w:type="pct"/>
            <w:vAlign w:val="center"/>
          </w:tcPr>
          <w:p w:rsidR="00C66A67" w:rsidRPr="009E0D28" w:rsidRDefault="00C66A67" w:rsidP="003A0984">
            <w:pPr>
              <w:jc w:val="right"/>
              <w:rPr>
                <w:rFonts w:ascii="Arial" w:hAnsi="Arial" w:cs="Arial"/>
                <w:sz w:val="18"/>
                <w:szCs w:val="18"/>
              </w:rPr>
            </w:pPr>
            <w:r w:rsidRPr="009E0D28">
              <w:rPr>
                <w:rFonts w:ascii="Arial" w:hAnsi="Arial" w:cs="Arial"/>
                <w:sz w:val="18"/>
                <w:szCs w:val="18"/>
              </w:rPr>
              <w:t>18%</w:t>
            </w:r>
          </w:p>
        </w:tc>
        <w:tc>
          <w:tcPr>
            <w:tcW w:w="837" w:type="pct"/>
            <w:vAlign w:val="center"/>
          </w:tcPr>
          <w:p w:rsidR="00C66A67" w:rsidRPr="009E0D28" w:rsidRDefault="00C66A67" w:rsidP="003A0984">
            <w:pPr>
              <w:jc w:val="right"/>
              <w:rPr>
                <w:rFonts w:ascii="Arial" w:hAnsi="Arial" w:cs="Arial"/>
                <w:sz w:val="18"/>
                <w:szCs w:val="20"/>
              </w:rPr>
            </w:pPr>
            <w:r w:rsidRPr="009E0D28">
              <w:rPr>
                <w:rFonts w:ascii="Arial" w:hAnsi="Arial" w:cs="Arial"/>
                <w:sz w:val="18"/>
                <w:szCs w:val="20"/>
              </w:rPr>
              <w:t>1.0m</w:t>
            </w:r>
          </w:p>
        </w:tc>
        <w:tc>
          <w:tcPr>
            <w:tcW w:w="682" w:type="pct"/>
            <w:vAlign w:val="center"/>
          </w:tcPr>
          <w:p w:rsidR="00C66A67" w:rsidRPr="000D7557" w:rsidRDefault="00C66A67" w:rsidP="003A0984">
            <w:pPr>
              <w:jc w:val="right"/>
              <w:rPr>
                <w:rFonts w:ascii="Arial" w:hAnsi="Arial" w:cs="Arial"/>
                <w:sz w:val="18"/>
                <w:szCs w:val="20"/>
              </w:rPr>
            </w:pPr>
            <w:r w:rsidRPr="000D7557">
              <w:rPr>
                <w:rFonts w:ascii="Arial" w:hAnsi="Arial" w:cs="Arial"/>
                <w:sz w:val="18"/>
                <w:szCs w:val="20"/>
              </w:rPr>
              <w:t>7%</w:t>
            </w:r>
          </w:p>
        </w:tc>
      </w:tr>
      <w:tr w:rsidR="00C66A67" w:rsidRPr="00CE4021" w:rsidTr="003F520D">
        <w:trPr>
          <w:trHeight w:val="255"/>
        </w:trPr>
        <w:tc>
          <w:tcPr>
            <w:tcW w:w="1807" w:type="pct"/>
            <w:shd w:val="clear" w:color="auto" w:fill="auto"/>
            <w:noWrap/>
            <w:vAlign w:val="center"/>
            <w:hideMark/>
          </w:tcPr>
          <w:p w:rsidR="00C66A67" w:rsidRPr="009E0D28" w:rsidRDefault="00C66A67" w:rsidP="003A0984">
            <w:pPr>
              <w:rPr>
                <w:rFonts w:ascii="Arial" w:hAnsi="Arial" w:cs="Arial"/>
                <w:sz w:val="18"/>
                <w:szCs w:val="20"/>
              </w:rPr>
            </w:pPr>
            <w:r w:rsidRPr="009E0D28">
              <w:rPr>
                <w:rFonts w:ascii="Arial" w:hAnsi="Arial" w:cs="Arial"/>
                <w:sz w:val="18"/>
                <w:szCs w:val="20"/>
              </w:rPr>
              <w:t>Lancaster</w:t>
            </w:r>
          </w:p>
        </w:tc>
        <w:tc>
          <w:tcPr>
            <w:tcW w:w="837" w:type="pct"/>
            <w:shd w:val="clear" w:color="auto" w:fill="auto"/>
            <w:noWrap/>
            <w:vAlign w:val="center"/>
            <w:hideMark/>
          </w:tcPr>
          <w:p w:rsidR="00C66A67" w:rsidRPr="009E0D28" w:rsidRDefault="00C66A67" w:rsidP="003A0984">
            <w:pPr>
              <w:jc w:val="right"/>
              <w:rPr>
                <w:rFonts w:ascii="Arial" w:hAnsi="Arial" w:cs="Arial"/>
                <w:sz w:val="18"/>
                <w:szCs w:val="20"/>
              </w:rPr>
            </w:pPr>
            <w:r w:rsidRPr="009E0D28">
              <w:rPr>
                <w:rFonts w:ascii="Arial" w:hAnsi="Arial" w:cs="Arial"/>
                <w:sz w:val="18"/>
                <w:szCs w:val="20"/>
              </w:rPr>
              <w:t>9.0m</w:t>
            </w:r>
          </w:p>
        </w:tc>
        <w:tc>
          <w:tcPr>
            <w:tcW w:w="837" w:type="pct"/>
            <w:vAlign w:val="center"/>
          </w:tcPr>
          <w:p w:rsidR="00C66A67" w:rsidRPr="009E0D28" w:rsidRDefault="00C66A67" w:rsidP="003A0984">
            <w:pPr>
              <w:jc w:val="right"/>
              <w:rPr>
                <w:rFonts w:ascii="Arial" w:hAnsi="Arial" w:cs="Arial"/>
                <w:sz w:val="18"/>
                <w:szCs w:val="18"/>
              </w:rPr>
            </w:pPr>
            <w:r w:rsidRPr="009E0D28">
              <w:rPr>
                <w:rFonts w:ascii="Arial" w:hAnsi="Arial" w:cs="Arial"/>
                <w:sz w:val="18"/>
                <w:szCs w:val="18"/>
              </w:rPr>
              <w:t>11%</w:t>
            </w:r>
          </w:p>
        </w:tc>
        <w:tc>
          <w:tcPr>
            <w:tcW w:w="837" w:type="pct"/>
            <w:vAlign w:val="center"/>
          </w:tcPr>
          <w:p w:rsidR="00C66A67" w:rsidRPr="009E0D28" w:rsidRDefault="00C66A67" w:rsidP="003A0984">
            <w:pPr>
              <w:jc w:val="right"/>
              <w:rPr>
                <w:rFonts w:ascii="Arial" w:hAnsi="Arial" w:cs="Arial"/>
                <w:sz w:val="18"/>
                <w:szCs w:val="20"/>
              </w:rPr>
            </w:pPr>
            <w:r w:rsidRPr="009E0D28">
              <w:rPr>
                <w:rFonts w:ascii="Arial" w:hAnsi="Arial" w:cs="Arial"/>
                <w:sz w:val="18"/>
                <w:szCs w:val="20"/>
              </w:rPr>
              <w:t>0.6m</w:t>
            </w:r>
          </w:p>
        </w:tc>
        <w:tc>
          <w:tcPr>
            <w:tcW w:w="682" w:type="pct"/>
            <w:vAlign w:val="center"/>
          </w:tcPr>
          <w:p w:rsidR="00C66A67" w:rsidRPr="000D7557" w:rsidRDefault="00C66A67" w:rsidP="003A0984">
            <w:pPr>
              <w:jc w:val="right"/>
              <w:rPr>
                <w:rFonts w:ascii="Arial" w:hAnsi="Arial" w:cs="Arial"/>
                <w:sz w:val="18"/>
                <w:szCs w:val="20"/>
              </w:rPr>
            </w:pPr>
            <w:r w:rsidRPr="000D7557">
              <w:rPr>
                <w:rFonts w:ascii="Arial" w:hAnsi="Arial" w:cs="Arial"/>
                <w:sz w:val="18"/>
                <w:szCs w:val="20"/>
              </w:rPr>
              <w:t>8%</w:t>
            </w:r>
          </w:p>
        </w:tc>
      </w:tr>
      <w:tr w:rsidR="00C66A67" w:rsidRPr="00CE4021" w:rsidTr="003F520D">
        <w:trPr>
          <w:trHeight w:val="255"/>
        </w:trPr>
        <w:tc>
          <w:tcPr>
            <w:tcW w:w="1807" w:type="pct"/>
            <w:shd w:val="clear" w:color="auto" w:fill="auto"/>
            <w:noWrap/>
            <w:vAlign w:val="center"/>
            <w:hideMark/>
          </w:tcPr>
          <w:p w:rsidR="00C66A67" w:rsidRPr="009E0D28" w:rsidRDefault="00C66A67" w:rsidP="003A0984">
            <w:pPr>
              <w:rPr>
                <w:rFonts w:ascii="Arial" w:hAnsi="Arial" w:cs="Arial"/>
                <w:sz w:val="18"/>
                <w:szCs w:val="20"/>
              </w:rPr>
            </w:pPr>
            <w:r w:rsidRPr="009E0D28">
              <w:rPr>
                <w:rFonts w:ascii="Arial" w:hAnsi="Arial" w:cs="Arial"/>
                <w:sz w:val="18"/>
                <w:szCs w:val="20"/>
              </w:rPr>
              <w:t>West Lancashire</w:t>
            </w:r>
          </w:p>
        </w:tc>
        <w:tc>
          <w:tcPr>
            <w:tcW w:w="837" w:type="pct"/>
            <w:shd w:val="clear" w:color="auto" w:fill="auto"/>
            <w:noWrap/>
            <w:vAlign w:val="center"/>
            <w:hideMark/>
          </w:tcPr>
          <w:p w:rsidR="00C66A67" w:rsidRPr="009E0D28" w:rsidRDefault="00C66A67" w:rsidP="003A0984">
            <w:pPr>
              <w:jc w:val="right"/>
              <w:rPr>
                <w:rFonts w:ascii="Arial" w:hAnsi="Arial" w:cs="Arial"/>
                <w:sz w:val="18"/>
                <w:szCs w:val="20"/>
              </w:rPr>
            </w:pPr>
            <w:r w:rsidRPr="009E0D28">
              <w:rPr>
                <w:rFonts w:ascii="Arial" w:hAnsi="Arial" w:cs="Arial"/>
                <w:sz w:val="18"/>
                <w:szCs w:val="20"/>
              </w:rPr>
              <w:t xml:space="preserve">3.5m </w:t>
            </w:r>
          </w:p>
        </w:tc>
        <w:tc>
          <w:tcPr>
            <w:tcW w:w="837" w:type="pct"/>
            <w:vAlign w:val="center"/>
          </w:tcPr>
          <w:p w:rsidR="00C66A67" w:rsidRPr="009E0D28" w:rsidRDefault="00C66A67" w:rsidP="003A0984">
            <w:pPr>
              <w:jc w:val="right"/>
              <w:rPr>
                <w:rFonts w:ascii="Arial" w:hAnsi="Arial" w:cs="Arial"/>
                <w:sz w:val="18"/>
                <w:szCs w:val="18"/>
              </w:rPr>
            </w:pPr>
            <w:r w:rsidRPr="009E0D28">
              <w:rPr>
                <w:rFonts w:ascii="Arial" w:hAnsi="Arial" w:cs="Arial"/>
                <w:sz w:val="18"/>
                <w:szCs w:val="18"/>
              </w:rPr>
              <w:t>4%</w:t>
            </w:r>
          </w:p>
        </w:tc>
        <w:tc>
          <w:tcPr>
            <w:tcW w:w="837" w:type="pct"/>
            <w:vAlign w:val="center"/>
          </w:tcPr>
          <w:p w:rsidR="00C66A67" w:rsidRPr="009E0D28" w:rsidRDefault="00C66A67" w:rsidP="003A0984">
            <w:pPr>
              <w:jc w:val="right"/>
              <w:rPr>
                <w:rFonts w:ascii="Arial" w:hAnsi="Arial" w:cs="Arial"/>
                <w:sz w:val="18"/>
                <w:szCs w:val="20"/>
              </w:rPr>
            </w:pPr>
            <w:r w:rsidRPr="009E0D28">
              <w:rPr>
                <w:rFonts w:ascii="Arial" w:hAnsi="Arial" w:cs="Arial"/>
                <w:sz w:val="18"/>
                <w:szCs w:val="20"/>
              </w:rPr>
              <w:t>0.4m</w:t>
            </w:r>
          </w:p>
        </w:tc>
        <w:tc>
          <w:tcPr>
            <w:tcW w:w="682" w:type="pct"/>
            <w:vAlign w:val="center"/>
          </w:tcPr>
          <w:p w:rsidR="00C66A67" w:rsidRPr="000D7557" w:rsidRDefault="00C66A67" w:rsidP="003A0984">
            <w:pPr>
              <w:jc w:val="right"/>
              <w:rPr>
                <w:rFonts w:ascii="Arial" w:hAnsi="Arial" w:cs="Arial"/>
                <w:sz w:val="18"/>
                <w:szCs w:val="20"/>
              </w:rPr>
            </w:pPr>
            <w:r w:rsidRPr="000D7557">
              <w:rPr>
                <w:rFonts w:ascii="Arial" w:hAnsi="Arial" w:cs="Arial"/>
                <w:sz w:val="18"/>
                <w:szCs w:val="20"/>
              </w:rPr>
              <w:t>13%</w:t>
            </w:r>
          </w:p>
        </w:tc>
      </w:tr>
      <w:tr w:rsidR="00C66A67" w:rsidRPr="00CE4021" w:rsidTr="003F520D">
        <w:trPr>
          <w:trHeight w:val="255"/>
        </w:trPr>
        <w:tc>
          <w:tcPr>
            <w:tcW w:w="5000" w:type="pct"/>
            <w:gridSpan w:val="5"/>
          </w:tcPr>
          <w:p w:rsidR="00C66A67" w:rsidRPr="00CE4021" w:rsidRDefault="00C66A67" w:rsidP="003A0984">
            <w:pPr>
              <w:rPr>
                <w:rFonts w:ascii="Arial" w:hAnsi="Arial" w:cs="Arial"/>
                <w:sz w:val="18"/>
                <w:szCs w:val="18"/>
              </w:rPr>
            </w:pPr>
            <w:r>
              <w:rPr>
                <w:rFonts w:ascii="Arial" w:hAnsi="Arial" w:cs="Arial"/>
                <w:sz w:val="18"/>
                <w:szCs w:val="18"/>
              </w:rPr>
              <w:t>Source: STEA</w:t>
            </w:r>
            <w:r w:rsidRPr="00CE4021">
              <w:rPr>
                <w:rFonts w:ascii="Arial" w:hAnsi="Arial" w:cs="Arial"/>
                <w:sz w:val="18"/>
                <w:szCs w:val="18"/>
              </w:rPr>
              <w:t>M</w:t>
            </w:r>
          </w:p>
        </w:tc>
      </w:tr>
    </w:tbl>
    <w:p w:rsidR="00C66A67" w:rsidRPr="00472BFB" w:rsidRDefault="00C66A67" w:rsidP="00C66A67">
      <w:pPr>
        <w:pStyle w:val="normalnumbered"/>
        <w:tabs>
          <w:tab w:val="clear" w:pos="2666"/>
        </w:tabs>
        <w:spacing w:line="264" w:lineRule="auto"/>
        <w:ind w:left="0" w:right="40" w:firstLine="0"/>
        <w:rPr>
          <w:sz w:val="2"/>
          <w:szCs w:val="2"/>
        </w:rPr>
      </w:pPr>
      <w:bookmarkStart w:id="26" w:name="_Toc419469470"/>
    </w:p>
    <w:p w:rsidR="00C66A67" w:rsidRDefault="00C66A67" w:rsidP="00C66A6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There is an ambition from key stakeholders </w:t>
      </w:r>
      <w:r w:rsidR="009232EA">
        <w:rPr>
          <w:sz w:val="18"/>
          <w:szCs w:val="18"/>
        </w:rPr>
        <w:t xml:space="preserve">across the LEP area </w:t>
      </w:r>
      <w:r>
        <w:rPr>
          <w:sz w:val="18"/>
          <w:szCs w:val="18"/>
        </w:rPr>
        <w:t xml:space="preserve">to increase visitor numbers significantly. Marketing Lancashire is aiming for 85 million visitor days, supporting 70,000 jobs, by 2016 and whilst these are </w:t>
      </w:r>
      <w:r>
        <w:rPr>
          <w:sz w:val="18"/>
          <w:szCs w:val="18"/>
        </w:rPr>
        <w:lastRenderedPageBreak/>
        <w:t>stretching targets, some of the early signs are encouraging. In Blackpool, for example, adult visitor numbers increased again in 2014, as did average levels of customer satisfaction</w:t>
      </w:r>
      <w:r>
        <w:rPr>
          <w:rStyle w:val="FootnoteReference"/>
          <w:sz w:val="18"/>
          <w:szCs w:val="18"/>
        </w:rPr>
        <w:footnoteReference w:id="21"/>
      </w:r>
      <w:r>
        <w:rPr>
          <w:sz w:val="18"/>
          <w:szCs w:val="18"/>
        </w:rPr>
        <w:t xml:space="preserve">.   </w:t>
      </w:r>
    </w:p>
    <w:p w:rsidR="00C66A67" w:rsidRPr="00CC399B" w:rsidRDefault="00C66A67" w:rsidP="00C66A6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Lancashire is also capturing a share of the UK’s growing overseas visitor market. </w:t>
      </w:r>
      <w:r w:rsidR="009232EA">
        <w:rPr>
          <w:sz w:val="18"/>
          <w:szCs w:val="18"/>
        </w:rPr>
        <w:t xml:space="preserve"> </w:t>
      </w:r>
      <w:r>
        <w:rPr>
          <w:sz w:val="18"/>
          <w:szCs w:val="18"/>
        </w:rPr>
        <w:t>Preston is Lancashire’s most commonly visited town by overseas visitors, recording 51,000 visits in 2013, followed by 47,000 visits to Blackpool and 39,000 to Lancaster</w:t>
      </w:r>
      <w:r>
        <w:rPr>
          <w:rStyle w:val="FootnoteReference"/>
          <w:sz w:val="18"/>
          <w:szCs w:val="18"/>
        </w:rPr>
        <w:footnoteReference w:id="22"/>
      </w:r>
      <w:r>
        <w:rPr>
          <w:sz w:val="18"/>
          <w:szCs w:val="18"/>
        </w:rPr>
        <w:t xml:space="preserve">. </w:t>
      </w:r>
    </w:p>
    <w:p w:rsidR="00C66A67" w:rsidRPr="009232EA" w:rsidRDefault="00C66A67" w:rsidP="00C66A67">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 xml:space="preserve">Economic </w:t>
      </w:r>
      <w:bookmarkEnd w:id="26"/>
      <w:r w:rsidRPr="009232EA">
        <w:rPr>
          <w:rFonts w:ascii="Arial" w:hAnsi="Arial" w:cs="Arial"/>
          <w:b/>
          <w:i/>
          <w:color w:val="6C2768"/>
          <w:sz w:val="20"/>
          <w:szCs w:val="20"/>
          <w:lang w:eastAsia="en-GB"/>
        </w:rPr>
        <w:t>Contribution</w:t>
      </w:r>
    </w:p>
    <w:p w:rsidR="00C66A67" w:rsidRPr="002E3E16"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sidRPr="002E3E16">
        <w:rPr>
          <w:sz w:val="18"/>
          <w:szCs w:val="18"/>
        </w:rPr>
        <w:t>STEAM estimated the economic impact of Lancashire’s visitor economy to be £3.5bn</w:t>
      </w:r>
      <w:r>
        <w:rPr>
          <w:sz w:val="18"/>
          <w:szCs w:val="18"/>
        </w:rPr>
        <w:t xml:space="preserve"> in 2013</w:t>
      </w:r>
      <w:r w:rsidRPr="006848A5">
        <w:rPr>
          <w:sz w:val="18"/>
          <w:szCs w:val="18"/>
          <w:vertAlign w:val="superscript"/>
        </w:rPr>
        <w:footnoteReference w:id="23"/>
      </w:r>
      <w:r w:rsidRPr="002E3E16">
        <w:rPr>
          <w:sz w:val="18"/>
          <w:szCs w:val="18"/>
        </w:rPr>
        <w:t>. Just over half of this was generated in Blackpool, Fylde and Wyre, which is a higher proportion than its share of visitor days, point</w:t>
      </w:r>
      <w:r w:rsidR="009232EA">
        <w:rPr>
          <w:sz w:val="18"/>
          <w:szCs w:val="18"/>
        </w:rPr>
        <w:t xml:space="preserve">ing </w:t>
      </w:r>
      <w:r w:rsidRPr="002E3E16">
        <w:rPr>
          <w:sz w:val="18"/>
          <w:szCs w:val="18"/>
        </w:rPr>
        <w:t>towards an above average level of spend per visitor</w:t>
      </w:r>
      <w:r w:rsidR="009232EA">
        <w:rPr>
          <w:sz w:val="18"/>
          <w:szCs w:val="18"/>
        </w:rPr>
        <w:t xml:space="preserve"> in this sub-geography</w:t>
      </w:r>
      <w:r w:rsidRPr="002E3E16">
        <w:rPr>
          <w:sz w:val="18"/>
          <w:szCs w:val="18"/>
        </w:rPr>
        <w:t xml:space="preserve">. </w:t>
      </w:r>
    </w:p>
    <w:p w:rsidR="008F44E1" w:rsidRPr="00922D0F" w:rsidRDefault="00C66A67" w:rsidP="008F44E1">
      <w:pPr>
        <w:pStyle w:val="normalnumbered"/>
        <w:numPr>
          <w:ilvl w:val="1"/>
          <w:numId w:val="1"/>
        </w:numPr>
        <w:tabs>
          <w:tab w:val="clear" w:pos="2666"/>
          <w:tab w:val="num" w:pos="709"/>
          <w:tab w:val="num" w:pos="2240"/>
        </w:tabs>
        <w:spacing w:line="264" w:lineRule="auto"/>
        <w:ind w:left="0" w:right="40" w:firstLine="0"/>
        <w:rPr>
          <w:sz w:val="18"/>
          <w:szCs w:val="18"/>
        </w:rPr>
      </w:pPr>
      <w:r w:rsidRPr="00922D0F">
        <w:rPr>
          <w:sz w:val="18"/>
          <w:szCs w:val="18"/>
        </w:rPr>
        <w:t xml:space="preserve">The sector’s economic contribution is estimated to have increased by more than £0.5bn between 2009 and 2013. The greatest absolute increase was in Blackpool, Fylde and Wyre, although the largest proportionate increase occurred in West Lancashire. In all sub-geographies, the uplift in the sector’s economic contribution exceeded the percentage uplift in visitor days. </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12"/>
        <w:gridCol w:w="988"/>
        <w:gridCol w:w="729"/>
        <w:gridCol w:w="1019"/>
        <w:gridCol w:w="768"/>
      </w:tblGrid>
      <w:tr w:rsidR="00C66A67" w:rsidRPr="00CE4021" w:rsidTr="003F520D">
        <w:trPr>
          <w:trHeight w:val="353"/>
          <w:jc w:val="center"/>
        </w:trPr>
        <w:tc>
          <w:tcPr>
            <w:tcW w:w="6177" w:type="dxa"/>
            <w:gridSpan w:val="5"/>
            <w:shd w:val="clear" w:color="auto" w:fill="660066"/>
            <w:vAlign w:val="center"/>
          </w:tcPr>
          <w:p w:rsidR="00C66A67" w:rsidRDefault="00C66A67" w:rsidP="003A0984">
            <w:pPr>
              <w:rPr>
                <w:rFonts w:ascii="Arial" w:hAnsi="Arial" w:cs="Arial"/>
                <w:b/>
                <w:bCs/>
                <w:color w:val="FFFFFF"/>
                <w:sz w:val="18"/>
                <w:szCs w:val="18"/>
              </w:rPr>
            </w:pPr>
            <w:r>
              <w:rPr>
                <w:rFonts w:ascii="Arial" w:hAnsi="Arial" w:cs="Arial"/>
                <w:b/>
                <w:bCs/>
                <w:color w:val="FFFFFF"/>
                <w:sz w:val="18"/>
                <w:szCs w:val="18"/>
              </w:rPr>
              <w:t xml:space="preserve">Lancashire Visitor Economy Economic Impact </w:t>
            </w:r>
          </w:p>
        </w:tc>
      </w:tr>
      <w:tr w:rsidR="00C66A67" w:rsidRPr="00CE4021" w:rsidTr="003F520D">
        <w:trPr>
          <w:trHeight w:val="255"/>
          <w:jc w:val="center"/>
        </w:trPr>
        <w:tc>
          <w:tcPr>
            <w:tcW w:w="2796" w:type="dxa"/>
            <w:shd w:val="clear" w:color="auto" w:fill="auto"/>
            <w:noWrap/>
            <w:vAlign w:val="center"/>
            <w:hideMark/>
          </w:tcPr>
          <w:p w:rsidR="00C66A67" w:rsidRPr="00CE4021" w:rsidRDefault="00C66A67" w:rsidP="003A0984">
            <w:pPr>
              <w:jc w:val="center"/>
              <w:rPr>
                <w:rFonts w:ascii="Arial" w:hAnsi="Arial" w:cs="Arial"/>
                <w:sz w:val="18"/>
                <w:szCs w:val="18"/>
              </w:rPr>
            </w:pPr>
          </w:p>
        </w:tc>
        <w:tc>
          <w:tcPr>
            <w:tcW w:w="0" w:type="auto"/>
            <w:gridSpan w:val="2"/>
            <w:shd w:val="clear" w:color="auto" w:fill="auto"/>
            <w:noWrap/>
            <w:vAlign w:val="center"/>
            <w:hideMark/>
          </w:tcPr>
          <w:p w:rsidR="00C66A67" w:rsidRPr="00000111" w:rsidRDefault="00C66A67" w:rsidP="003A0984">
            <w:pPr>
              <w:jc w:val="center"/>
              <w:rPr>
                <w:rFonts w:ascii="Arial" w:hAnsi="Arial" w:cs="Arial"/>
                <w:b/>
                <w:sz w:val="18"/>
                <w:szCs w:val="20"/>
              </w:rPr>
            </w:pPr>
            <w:r w:rsidRPr="00000111">
              <w:rPr>
                <w:rFonts w:ascii="Arial" w:hAnsi="Arial" w:cs="Arial"/>
                <w:b/>
                <w:sz w:val="18"/>
                <w:szCs w:val="20"/>
              </w:rPr>
              <w:t>2013</w:t>
            </w:r>
          </w:p>
        </w:tc>
        <w:tc>
          <w:tcPr>
            <w:tcW w:w="0" w:type="auto"/>
            <w:gridSpan w:val="2"/>
            <w:shd w:val="clear" w:color="auto" w:fill="auto"/>
            <w:vAlign w:val="center"/>
          </w:tcPr>
          <w:p w:rsidR="00C66A67" w:rsidRPr="00000111" w:rsidRDefault="00C66A67" w:rsidP="003A0984">
            <w:pPr>
              <w:jc w:val="center"/>
              <w:rPr>
                <w:rFonts w:ascii="Arial" w:hAnsi="Arial" w:cs="Arial"/>
                <w:b/>
                <w:sz w:val="18"/>
                <w:szCs w:val="20"/>
              </w:rPr>
            </w:pPr>
            <w:r w:rsidRPr="00000111">
              <w:rPr>
                <w:rFonts w:ascii="Arial" w:hAnsi="Arial" w:cs="Arial"/>
                <w:b/>
                <w:sz w:val="18"/>
                <w:szCs w:val="20"/>
              </w:rPr>
              <w:t>Change 2009-2013</w:t>
            </w:r>
          </w:p>
        </w:tc>
      </w:tr>
      <w:tr w:rsidR="00C66A67" w:rsidRPr="00CE4021" w:rsidTr="003F520D">
        <w:trPr>
          <w:trHeight w:val="255"/>
          <w:jc w:val="center"/>
        </w:trPr>
        <w:tc>
          <w:tcPr>
            <w:tcW w:w="2796" w:type="dxa"/>
            <w:shd w:val="clear" w:color="auto" w:fill="D9D9D9" w:themeFill="background1" w:themeFillShade="D9"/>
            <w:noWrap/>
            <w:vAlign w:val="center"/>
            <w:hideMark/>
          </w:tcPr>
          <w:p w:rsidR="00C66A67" w:rsidRPr="00CE4021" w:rsidRDefault="00C66A67" w:rsidP="003A0984">
            <w:pPr>
              <w:rPr>
                <w:rFonts w:ascii="Arial" w:hAnsi="Arial" w:cs="Arial"/>
                <w:sz w:val="18"/>
                <w:szCs w:val="18"/>
              </w:rPr>
            </w:pPr>
          </w:p>
        </w:tc>
        <w:tc>
          <w:tcPr>
            <w:tcW w:w="0" w:type="auto"/>
            <w:shd w:val="clear" w:color="auto" w:fill="D9D9D9" w:themeFill="background1" w:themeFillShade="D9"/>
            <w:noWrap/>
            <w:vAlign w:val="center"/>
            <w:hideMark/>
          </w:tcPr>
          <w:p w:rsidR="00C66A67" w:rsidRPr="00C62FF7" w:rsidRDefault="00C66A67" w:rsidP="003A0984">
            <w:pPr>
              <w:jc w:val="right"/>
              <w:rPr>
                <w:rFonts w:ascii="Arial" w:hAnsi="Arial" w:cs="Arial"/>
                <w:b/>
                <w:sz w:val="18"/>
                <w:szCs w:val="20"/>
              </w:rPr>
            </w:pPr>
            <w:r w:rsidRPr="00C62FF7">
              <w:rPr>
                <w:rFonts w:ascii="Arial" w:hAnsi="Arial" w:cs="Arial"/>
                <w:b/>
                <w:sz w:val="18"/>
                <w:szCs w:val="20"/>
              </w:rPr>
              <w:t>No.</w:t>
            </w:r>
          </w:p>
        </w:tc>
        <w:tc>
          <w:tcPr>
            <w:tcW w:w="0" w:type="auto"/>
            <w:shd w:val="clear" w:color="auto" w:fill="D9D9D9" w:themeFill="background1" w:themeFillShade="D9"/>
            <w:vAlign w:val="center"/>
          </w:tcPr>
          <w:p w:rsidR="00C66A67" w:rsidRPr="00C62FF7" w:rsidRDefault="00C66A67" w:rsidP="003A0984">
            <w:pPr>
              <w:jc w:val="right"/>
              <w:rPr>
                <w:rFonts w:ascii="Arial" w:hAnsi="Arial" w:cs="Arial"/>
                <w:b/>
                <w:sz w:val="18"/>
                <w:szCs w:val="20"/>
              </w:rPr>
            </w:pPr>
            <w:r>
              <w:rPr>
                <w:rFonts w:ascii="Arial" w:hAnsi="Arial" w:cs="Arial"/>
                <w:b/>
                <w:sz w:val="18"/>
                <w:szCs w:val="20"/>
              </w:rPr>
              <w:t>%</w:t>
            </w:r>
          </w:p>
        </w:tc>
        <w:tc>
          <w:tcPr>
            <w:tcW w:w="0" w:type="auto"/>
            <w:shd w:val="clear" w:color="auto" w:fill="D9D9D9" w:themeFill="background1" w:themeFillShade="D9"/>
            <w:vAlign w:val="center"/>
          </w:tcPr>
          <w:p w:rsidR="00C66A67" w:rsidRPr="00C62FF7" w:rsidRDefault="00C66A67" w:rsidP="003A0984">
            <w:pPr>
              <w:jc w:val="right"/>
              <w:rPr>
                <w:rFonts w:ascii="Arial" w:hAnsi="Arial" w:cs="Arial"/>
                <w:b/>
                <w:sz w:val="18"/>
                <w:szCs w:val="20"/>
              </w:rPr>
            </w:pPr>
            <w:r w:rsidRPr="00C62FF7">
              <w:rPr>
                <w:rFonts w:ascii="Arial" w:hAnsi="Arial" w:cs="Arial"/>
                <w:b/>
                <w:sz w:val="18"/>
                <w:szCs w:val="20"/>
              </w:rPr>
              <w:t>No.</w:t>
            </w:r>
          </w:p>
        </w:tc>
        <w:tc>
          <w:tcPr>
            <w:tcW w:w="0" w:type="auto"/>
            <w:shd w:val="clear" w:color="auto" w:fill="D9D9D9" w:themeFill="background1" w:themeFillShade="D9"/>
            <w:vAlign w:val="center"/>
          </w:tcPr>
          <w:p w:rsidR="00C66A67" w:rsidRPr="00C62FF7" w:rsidRDefault="00C66A67" w:rsidP="003A0984">
            <w:pPr>
              <w:jc w:val="right"/>
              <w:rPr>
                <w:rFonts w:ascii="Arial" w:hAnsi="Arial" w:cs="Arial"/>
                <w:b/>
                <w:sz w:val="18"/>
                <w:szCs w:val="20"/>
              </w:rPr>
            </w:pPr>
            <w:r w:rsidRPr="00C62FF7">
              <w:rPr>
                <w:rFonts w:ascii="Arial" w:hAnsi="Arial" w:cs="Arial"/>
                <w:b/>
                <w:sz w:val="18"/>
                <w:szCs w:val="20"/>
              </w:rPr>
              <w:t>%</w:t>
            </w:r>
          </w:p>
        </w:tc>
      </w:tr>
      <w:tr w:rsidR="00C66A67" w:rsidRPr="00CE4021" w:rsidTr="003F520D">
        <w:trPr>
          <w:trHeight w:val="255"/>
          <w:jc w:val="center"/>
        </w:trPr>
        <w:tc>
          <w:tcPr>
            <w:tcW w:w="2796" w:type="dxa"/>
            <w:shd w:val="clear" w:color="auto" w:fill="D9D9D9" w:themeFill="background1" w:themeFillShade="D9"/>
            <w:noWrap/>
            <w:vAlign w:val="center"/>
            <w:hideMark/>
          </w:tcPr>
          <w:p w:rsidR="00C66A67" w:rsidRPr="00CE4021" w:rsidRDefault="00C66A67" w:rsidP="003A0984">
            <w:pPr>
              <w:rPr>
                <w:rFonts w:ascii="Arial" w:hAnsi="Arial" w:cs="Arial"/>
                <w:sz w:val="18"/>
                <w:szCs w:val="18"/>
              </w:rPr>
            </w:pPr>
            <w:r w:rsidRPr="00CE4021">
              <w:rPr>
                <w:rFonts w:ascii="Arial" w:hAnsi="Arial" w:cs="Arial"/>
                <w:sz w:val="18"/>
                <w:szCs w:val="18"/>
              </w:rPr>
              <w:t>Lancashire</w:t>
            </w:r>
          </w:p>
        </w:tc>
        <w:tc>
          <w:tcPr>
            <w:tcW w:w="0" w:type="auto"/>
            <w:shd w:val="clear" w:color="auto" w:fill="D9D9D9" w:themeFill="background1" w:themeFillShade="D9"/>
            <w:noWrap/>
            <w:vAlign w:val="center"/>
            <w:hideMark/>
          </w:tcPr>
          <w:p w:rsidR="00C66A67" w:rsidRPr="00E7573D" w:rsidRDefault="00C66A67" w:rsidP="003A0984">
            <w:pPr>
              <w:jc w:val="right"/>
              <w:rPr>
                <w:rFonts w:ascii="Arial" w:hAnsi="Arial" w:cs="Arial"/>
                <w:sz w:val="18"/>
                <w:szCs w:val="18"/>
              </w:rPr>
            </w:pPr>
            <w:r w:rsidRPr="00E7573D">
              <w:rPr>
                <w:rFonts w:ascii="Arial" w:hAnsi="Arial" w:cs="Arial"/>
                <w:sz w:val="18"/>
                <w:szCs w:val="18"/>
              </w:rPr>
              <w:t>£3,548</w:t>
            </w:r>
            <w:r>
              <w:rPr>
                <w:rFonts w:ascii="Arial" w:hAnsi="Arial" w:cs="Arial"/>
                <w:sz w:val="18"/>
                <w:szCs w:val="18"/>
              </w:rPr>
              <w:t>m</w:t>
            </w:r>
          </w:p>
        </w:tc>
        <w:tc>
          <w:tcPr>
            <w:tcW w:w="0" w:type="auto"/>
            <w:shd w:val="clear" w:color="auto" w:fill="D9D9D9" w:themeFill="background1" w:themeFillShade="D9"/>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100%</w:t>
            </w:r>
          </w:p>
        </w:tc>
        <w:tc>
          <w:tcPr>
            <w:tcW w:w="0" w:type="auto"/>
            <w:shd w:val="clear" w:color="auto" w:fill="D9D9D9" w:themeFill="background1" w:themeFillShade="D9"/>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£551m</w:t>
            </w:r>
          </w:p>
        </w:tc>
        <w:tc>
          <w:tcPr>
            <w:tcW w:w="0" w:type="auto"/>
            <w:shd w:val="clear" w:color="auto" w:fill="D9D9D9" w:themeFill="background1" w:themeFillShade="D9"/>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18%</w:t>
            </w:r>
          </w:p>
        </w:tc>
      </w:tr>
      <w:tr w:rsidR="00C66A67" w:rsidRPr="00CE4021" w:rsidTr="003F520D">
        <w:trPr>
          <w:trHeight w:val="255"/>
          <w:jc w:val="center"/>
        </w:trPr>
        <w:tc>
          <w:tcPr>
            <w:tcW w:w="2796" w:type="dxa"/>
            <w:shd w:val="clear" w:color="auto" w:fill="auto"/>
            <w:noWrap/>
            <w:vAlign w:val="center"/>
            <w:hideMark/>
          </w:tcPr>
          <w:p w:rsidR="00C66A67" w:rsidRPr="00BB2279" w:rsidRDefault="00C66A67" w:rsidP="003A0984">
            <w:pPr>
              <w:rPr>
                <w:rFonts w:ascii="Arial" w:hAnsi="Arial" w:cs="Arial"/>
                <w:sz w:val="18"/>
                <w:szCs w:val="20"/>
              </w:rPr>
            </w:pPr>
            <w:r w:rsidRPr="00BB2279">
              <w:rPr>
                <w:rFonts w:ascii="Arial" w:hAnsi="Arial" w:cs="Arial"/>
                <w:sz w:val="18"/>
                <w:szCs w:val="20"/>
              </w:rPr>
              <w:t>Blackpool, Fylde and Wyre</w:t>
            </w:r>
          </w:p>
        </w:tc>
        <w:tc>
          <w:tcPr>
            <w:tcW w:w="0" w:type="auto"/>
            <w:shd w:val="clear" w:color="auto" w:fill="auto"/>
            <w:noWrap/>
            <w:vAlign w:val="center"/>
            <w:hideMark/>
          </w:tcPr>
          <w:p w:rsidR="00C66A67" w:rsidRPr="00E7573D" w:rsidRDefault="00C66A67" w:rsidP="003A0984">
            <w:pPr>
              <w:jc w:val="right"/>
              <w:rPr>
                <w:rFonts w:ascii="Arial" w:hAnsi="Arial" w:cs="Arial"/>
                <w:sz w:val="18"/>
                <w:szCs w:val="18"/>
              </w:rPr>
            </w:pPr>
            <w:r w:rsidRPr="00E7573D">
              <w:rPr>
                <w:rFonts w:ascii="Arial" w:hAnsi="Arial" w:cs="Arial"/>
                <w:sz w:val="18"/>
                <w:szCs w:val="18"/>
              </w:rPr>
              <w:t>£1,</w:t>
            </w:r>
            <w:r>
              <w:rPr>
                <w:rFonts w:ascii="Arial" w:hAnsi="Arial" w:cs="Arial"/>
                <w:sz w:val="18"/>
                <w:szCs w:val="18"/>
              </w:rPr>
              <w:t>822m</w:t>
            </w:r>
          </w:p>
        </w:tc>
        <w:tc>
          <w:tcPr>
            <w:tcW w:w="0" w:type="auto"/>
            <w:vAlign w:val="bottom"/>
          </w:tcPr>
          <w:p w:rsidR="00C66A67" w:rsidRPr="006E3B29" w:rsidRDefault="00C66A67" w:rsidP="003A0984">
            <w:pPr>
              <w:jc w:val="right"/>
              <w:rPr>
                <w:rFonts w:ascii="Arial" w:hAnsi="Arial" w:cs="Arial"/>
                <w:sz w:val="18"/>
                <w:szCs w:val="18"/>
              </w:rPr>
            </w:pPr>
            <w:r w:rsidRPr="006E3B29">
              <w:rPr>
                <w:rFonts w:ascii="Arial" w:hAnsi="Arial" w:cs="Arial"/>
                <w:sz w:val="18"/>
                <w:szCs w:val="18"/>
              </w:rPr>
              <w:t>51%</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£242m</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15%</w:t>
            </w:r>
          </w:p>
        </w:tc>
      </w:tr>
      <w:tr w:rsidR="00C66A67" w:rsidRPr="00CE4021" w:rsidTr="003F520D">
        <w:trPr>
          <w:trHeight w:val="255"/>
          <w:jc w:val="center"/>
        </w:trPr>
        <w:tc>
          <w:tcPr>
            <w:tcW w:w="2796" w:type="dxa"/>
            <w:shd w:val="clear" w:color="auto" w:fill="auto"/>
            <w:noWrap/>
            <w:vAlign w:val="center"/>
            <w:hideMark/>
          </w:tcPr>
          <w:p w:rsidR="00C66A67" w:rsidRPr="00BB2279" w:rsidRDefault="00C66A67" w:rsidP="003A0984">
            <w:pPr>
              <w:rPr>
                <w:rFonts w:ascii="Arial" w:hAnsi="Arial" w:cs="Arial"/>
                <w:sz w:val="18"/>
                <w:szCs w:val="20"/>
              </w:rPr>
            </w:pPr>
            <w:r w:rsidRPr="00BB2279">
              <w:rPr>
                <w:rFonts w:ascii="Arial" w:hAnsi="Arial" w:cs="Arial"/>
                <w:sz w:val="18"/>
                <w:szCs w:val="20"/>
              </w:rPr>
              <w:t>East Lancashire</w:t>
            </w:r>
          </w:p>
        </w:tc>
        <w:tc>
          <w:tcPr>
            <w:tcW w:w="0" w:type="auto"/>
            <w:shd w:val="clear" w:color="auto" w:fill="auto"/>
            <w:noWrap/>
            <w:vAlign w:val="center"/>
            <w:hideMark/>
          </w:tcPr>
          <w:p w:rsidR="00C66A67" w:rsidRPr="00E7573D" w:rsidRDefault="00C66A67" w:rsidP="003A0984">
            <w:pPr>
              <w:jc w:val="right"/>
              <w:rPr>
                <w:rFonts w:ascii="Arial" w:hAnsi="Arial" w:cs="Arial"/>
                <w:sz w:val="18"/>
                <w:szCs w:val="18"/>
              </w:rPr>
            </w:pPr>
            <w:r w:rsidRPr="00E7573D">
              <w:rPr>
                <w:rFonts w:ascii="Arial" w:hAnsi="Arial" w:cs="Arial"/>
                <w:sz w:val="18"/>
                <w:szCs w:val="18"/>
              </w:rPr>
              <w:t>£656</w:t>
            </w:r>
            <w:r>
              <w:rPr>
                <w:rFonts w:ascii="Arial" w:hAnsi="Arial" w:cs="Arial"/>
                <w:sz w:val="18"/>
                <w:szCs w:val="18"/>
              </w:rPr>
              <w:t xml:space="preserve">m </w:t>
            </w:r>
          </w:p>
        </w:tc>
        <w:tc>
          <w:tcPr>
            <w:tcW w:w="0" w:type="auto"/>
            <w:vAlign w:val="bottom"/>
          </w:tcPr>
          <w:p w:rsidR="00C66A67" w:rsidRPr="006E3B29" w:rsidRDefault="00C66A67" w:rsidP="003A0984">
            <w:pPr>
              <w:jc w:val="right"/>
              <w:rPr>
                <w:rFonts w:ascii="Arial" w:hAnsi="Arial" w:cs="Arial"/>
                <w:sz w:val="18"/>
                <w:szCs w:val="18"/>
              </w:rPr>
            </w:pPr>
            <w:r w:rsidRPr="006E3B29">
              <w:rPr>
                <w:rFonts w:ascii="Arial" w:hAnsi="Arial" w:cs="Arial"/>
                <w:sz w:val="18"/>
                <w:szCs w:val="18"/>
              </w:rPr>
              <w:t>18%</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£116m</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21%</w:t>
            </w:r>
          </w:p>
        </w:tc>
      </w:tr>
      <w:tr w:rsidR="00C66A67" w:rsidRPr="00CE4021" w:rsidTr="003F520D">
        <w:trPr>
          <w:trHeight w:val="255"/>
          <w:jc w:val="center"/>
        </w:trPr>
        <w:tc>
          <w:tcPr>
            <w:tcW w:w="2796" w:type="dxa"/>
            <w:shd w:val="clear" w:color="auto" w:fill="auto"/>
            <w:noWrap/>
            <w:vAlign w:val="center"/>
            <w:hideMark/>
          </w:tcPr>
          <w:p w:rsidR="00C66A67" w:rsidRPr="00BB2279" w:rsidRDefault="00C66A67" w:rsidP="003A0984">
            <w:pPr>
              <w:rPr>
                <w:rFonts w:ascii="Arial" w:hAnsi="Arial" w:cs="Arial"/>
                <w:sz w:val="18"/>
                <w:szCs w:val="20"/>
              </w:rPr>
            </w:pPr>
            <w:r w:rsidRPr="00BB2279">
              <w:rPr>
                <w:rFonts w:ascii="Arial" w:hAnsi="Arial" w:cs="Arial"/>
                <w:sz w:val="18"/>
                <w:szCs w:val="20"/>
              </w:rPr>
              <w:t>Central Lancashire</w:t>
            </w:r>
          </w:p>
        </w:tc>
        <w:tc>
          <w:tcPr>
            <w:tcW w:w="0" w:type="auto"/>
            <w:shd w:val="clear" w:color="auto" w:fill="auto"/>
            <w:noWrap/>
            <w:vAlign w:val="center"/>
            <w:hideMark/>
          </w:tcPr>
          <w:p w:rsidR="00C66A67" w:rsidRPr="00E7573D" w:rsidRDefault="00C66A67" w:rsidP="003A0984">
            <w:pPr>
              <w:jc w:val="right"/>
              <w:rPr>
                <w:rFonts w:ascii="Arial" w:hAnsi="Arial" w:cs="Arial"/>
                <w:sz w:val="18"/>
                <w:szCs w:val="18"/>
              </w:rPr>
            </w:pPr>
            <w:r>
              <w:rPr>
                <w:rFonts w:ascii="Arial" w:hAnsi="Arial" w:cs="Arial"/>
                <w:sz w:val="18"/>
                <w:szCs w:val="18"/>
              </w:rPr>
              <w:t xml:space="preserve">£554m </w:t>
            </w:r>
          </w:p>
        </w:tc>
        <w:tc>
          <w:tcPr>
            <w:tcW w:w="0" w:type="auto"/>
            <w:vAlign w:val="bottom"/>
          </w:tcPr>
          <w:p w:rsidR="00C66A67" w:rsidRPr="006E3B29" w:rsidRDefault="00C66A67" w:rsidP="003A0984">
            <w:pPr>
              <w:jc w:val="right"/>
              <w:rPr>
                <w:rFonts w:ascii="Arial" w:hAnsi="Arial" w:cs="Arial"/>
                <w:sz w:val="18"/>
                <w:szCs w:val="18"/>
              </w:rPr>
            </w:pPr>
            <w:r w:rsidRPr="006E3B29">
              <w:rPr>
                <w:rFonts w:ascii="Arial" w:hAnsi="Arial" w:cs="Arial"/>
                <w:sz w:val="18"/>
                <w:szCs w:val="18"/>
              </w:rPr>
              <w:t>16%</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£92m</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20%</w:t>
            </w:r>
          </w:p>
        </w:tc>
      </w:tr>
      <w:tr w:rsidR="00C66A67" w:rsidRPr="00CE4021" w:rsidTr="003F520D">
        <w:trPr>
          <w:trHeight w:val="255"/>
          <w:jc w:val="center"/>
        </w:trPr>
        <w:tc>
          <w:tcPr>
            <w:tcW w:w="2796" w:type="dxa"/>
            <w:shd w:val="clear" w:color="auto" w:fill="auto"/>
            <w:noWrap/>
            <w:vAlign w:val="center"/>
            <w:hideMark/>
          </w:tcPr>
          <w:p w:rsidR="00C66A67" w:rsidRPr="00BB2279" w:rsidRDefault="00C66A67" w:rsidP="003A0984">
            <w:pPr>
              <w:rPr>
                <w:rFonts w:ascii="Arial" w:hAnsi="Arial" w:cs="Arial"/>
                <w:sz w:val="18"/>
                <w:szCs w:val="20"/>
              </w:rPr>
            </w:pPr>
            <w:r w:rsidRPr="00BB2279">
              <w:rPr>
                <w:rFonts w:ascii="Arial" w:hAnsi="Arial" w:cs="Arial"/>
                <w:sz w:val="18"/>
                <w:szCs w:val="20"/>
              </w:rPr>
              <w:t>Lancaster</w:t>
            </w:r>
          </w:p>
        </w:tc>
        <w:tc>
          <w:tcPr>
            <w:tcW w:w="0" w:type="auto"/>
            <w:shd w:val="clear" w:color="auto" w:fill="auto"/>
            <w:noWrap/>
            <w:vAlign w:val="center"/>
            <w:hideMark/>
          </w:tcPr>
          <w:p w:rsidR="00C66A67" w:rsidRPr="00E7573D" w:rsidRDefault="00C66A67" w:rsidP="003A0984">
            <w:pPr>
              <w:jc w:val="right"/>
              <w:rPr>
                <w:rFonts w:ascii="Arial" w:hAnsi="Arial" w:cs="Arial"/>
                <w:sz w:val="18"/>
                <w:szCs w:val="18"/>
              </w:rPr>
            </w:pPr>
            <w:r>
              <w:rPr>
                <w:rFonts w:ascii="Arial" w:hAnsi="Arial" w:cs="Arial"/>
                <w:sz w:val="18"/>
                <w:szCs w:val="18"/>
              </w:rPr>
              <w:t>£382m</w:t>
            </w:r>
          </w:p>
        </w:tc>
        <w:tc>
          <w:tcPr>
            <w:tcW w:w="0" w:type="auto"/>
            <w:vAlign w:val="bottom"/>
          </w:tcPr>
          <w:p w:rsidR="00C66A67" w:rsidRPr="006E3B29" w:rsidRDefault="00C66A67" w:rsidP="003A0984">
            <w:pPr>
              <w:jc w:val="right"/>
              <w:rPr>
                <w:rFonts w:ascii="Arial" w:hAnsi="Arial" w:cs="Arial"/>
                <w:sz w:val="18"/>
                <w:szCs w:val="18"/>
              </w:rPr>
            </w:pPr>
            <w:r w:rsidRPr="006E3B29">
              <w:rPr>
                <w:rFonts w:ascii="Arial" w:hAnsi="Arial" w:cs="Arial"/>
                <w:sz w:val="18"/>
                <w:szCs w:val="18"/>
              </w:rPr>
              <w:t>11%</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£71m</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23%</w:t>
            </w:r>
          </w:p>
        </w:tc>
      </w:tr>
      <w:tr w:rsidR="00C66A67" w:rsidRPr="00CE4021" w:rsidTr="003F520D">
        <w:trPr>
          <w:trHeight w:val="255"/>
          <w:jc w:val="center"/>
        </w:trPr>
        <w:tc>
          <w:tcPr>
            <w:tcW w:w="2796" w:type="dxa"/>
            <w:shd w:val="clear" w:color="auto" w:fill="auto"/>
            <w:noWrap/>
            <w:vAlign w:val="center"/>
            <w:hideMark/>
          </w:tcPr>
          <w:p w:rsidR="00C66A67" w:rsidRPr="00BB2279" w:rsidRDefault="00C66A67" w:rsidP="003A0984">
            <w:pPr>
              <w:rPr>
                <w:rFonts w:ascii="Arial" w:hAnsi="Arial" w:cs="Arial"/>
                <w:sz w:val="18"/>
                <w:szCs w:val="20"/>
              </w:rPr>
            </w:pPr>
            <w:r w:rsidRPr="00BB2279">
              <w:rPr>
                <w:rFonts w:ascii="Arial" w:hAnsi="Arial" w:cs="Arial"/>
                <w:sz w:val="18"/>
                <w:szCs w:val="20"/>
              </w:rPr>
              <w:t>West Lancashire</w:t>
            </w:r>
          </w:p>
        </w:tc>
        <w:tc>
          <w:tcPr>
            <w:tcW w:w="0" w:type="auto"/>
            <w:shd w:val="clear" w:color="auto" w:fill="auto"/>
            <w:noWrap/>
            <w:vAlign w:val="center"/>
            <w:hideMark/>
          </w:tcPr>
          <w:p w:rsidR="00C66A67" w:rsidRPr="00E7573D" w:rsidRDefault="00C66A67" w:rsidP="003A0984">
            <w:pPr>
              <w:jc w:val="right"/>
              <w:rPr>
                <w:rFonts w:ascii="Arial" w:hAnsi="Arial" w:cs="Arial"/>
                <w:sz w:val="18"/>
                <w:szCs w:val="18"/>
              </w:rPr>
            </w:pPr>
            <w:r w:rsidRPr="00E7573D">
              <w:rPr>
                <w:rFonts w:ascii="Arial" w:hAnsi="Arial" w:cs="Arial"/>
                <w:sz w:val="18"/>
                <w:szCs w:val="18"/>
              </w:rPr>
              <w:t>£135</w:t>
            </w:r>
            <w:r>
              <w:rPr>
                <w:rFonts w:ascii="Arial" w:hAnsi="Arial" w:cs="Arial"/>
                <w:sz w:val="18"/>
                <w:szCs w:val="18"/>
              </w:rPr>
              <w:t>m</w:t>
            </w:r>
          </w:p>
        </w:tc>
        <w:tc>
          <w:tcPr>
            <w:tcW w:w="0" w:type="auto"/>
            <w:vAlign w:val="bottom"/>
          </w:tcPr>
          <w:p w:rsidR="00C66A67" w:rsidRPr="006E3B29" w:rsidRDefault="00C66A67" w:rsidP="003A0984">
            <w:pPr>
              <w:jc w:val="right"/>
              <w:rPr>
                <w:rFonts w:ascii="Arial" w:hAnsi="Arial" w:cs="Arial"/>
                <w:sz w:val="18"/>
                <w:szCs w:val="18"/>
              </w:rPr>
            </w:pPr>
            <w:r w:rsidRPr="006E3B29">
              <w:rPr>
                <w:rFonts w:ascii="Arial" w:hAnsi="Arial" w:cs="Arial"/>
                <w:sz w:val="18"/>
                <w:szCs w:val="18"/>
              </w:rPr>
              <w:t>4%</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£31m</w:t>
            </w:r>
          </w:p>
        </w:tc>
        <w:tc>
          <w:tcPr>
            <w:tcW w:w="0" w:type="auto"/>
            <w:vAlign w:val="center"/>
          </w:tcPr>
          <w:p w:rsidR="00C66A67" w:rsidRPr="006E3B29" w:rsidRDefault="00C66A67" w:rsidP="003A0984">
            <w:pPr>
              <w:jc w:val="right"/>
              <w:rPr>
                <w:rFonts w:ascii="Arial" w:hAnsi="Arial" w:cs="Arial"/>
                <w:sz w:val="18"/>
                <w:szCs w:val="18"/>
              </w:rPr>
            </w:pPr>
            <w:r w:rsidRPr="006E3B29">
              <w:rPr>
                <w:rFonts w:ascii="Arial" w:hAnsi="Arial" w:cs="Arial"/>
                <w:sz w:val="18"/>
                <w:szCs w:val="18"/>
              </w:rPr>
              <w:t>30%</w:t>
            </w:r>
          </w:p>
        </w:tc>
      </w:tr>
      <w:tr w:rsidR="00C66A67" w:rsidRPr="00CE4021" w:rsidTr="003F520D">
        <w:trPr>
          <w:trHeight w:val="255"/>
          <w:jc w:val="center"/>
        </w:trPr>
        <w:tc>
          <w:tcPr>
            <w:tcW w:w="6177" w:type="dxa"/>
            <w:gridSpan w:val="5"/>
          </w:tcPr>
          <w:p w:rsidR="00C66A67" w:rsidRPr="00CE4021" w:rsidRDefault="00C66A67" w:rsidP="003A0984">
            <w:pPr>
              <w:rPr>
                <w:rFonts w:ascii="Arial" w:hAnsi="Arial" w:cs="Arial"/>
                <w:sz w:val="18"/>
                <w:szCs w:val="18"/>
              </w:rPr>
            </w:pPr>
            <w:r w:rsidRPr="00CE4021">
              <w:rPr>
                <w:rFonts w:ascii="Arial" w:hAnsi="Arial" w:cs="Arial"/>
                <w:sz w:val="18"/>
                <w:szCs w:val="18"/>
              </w:rPr>
              <w:t>Source: STE</w:t>
            </w:r>
            <w:r>
              <w:rPr>
                <w:rFonts w:ascii="Arial" w:hAnsi="Arial" w:cs="Arial"/>
                <w:sz w:val="18"/>
                <w:szCs w:val="18"/>
              </w:rPr>
              <w:t>A</w:t>
            </w:r>
            <w:r w:rsidRPr="00CE4021">
              <w:rPr>
                <w:rFonts w:ascii="Arial" w:hAnsi="Arial" w:cs="Arial"/>
                <w:sz w:val="18"/>
                <w:szCs w:val="18"/>
              </w:rPr>
              <w:t>M</w:t>
            </w:r>
          </w:p>
        </w:tc>
      </w:tr>
    </w:tbl>
    <w:p w:rsidR="003F520D" w:rsidRPr="003F520D" w:rsidRDefault="003F520D" w:rsidP="00C66A67">
      <w:pPr>
        <w:spacing w:before="120" w:after="120" w:line="264" w:lineRule="auto"/>
        <w:jc w:val="both"/>
        <w:rPr>
          <w:rFonts w:ascii="Arial" w:hAnsi="Arial" w:cs="Arial"/>
          <w:b/>
          <w:color w:val="6C2768"/>
          <w:sz w:val="10"/>
          <w:szCs w:val="10"/>
          <w:lang w:eastAsia="en-GB"/>
        </w:rPr>
      </w:pPr>
      <w:bookmarkStart w:id="27" w:name="_Toc419469471"/>
    </w:p>
    <w:p w:rsidR="00C66A67" w:rsidRPr="009232EA" w:rsidRDefault="00C66A67" w:rsidP="00C66A67">
      <w:pPr>
        <w:spacing w:before="120" w:after="120" w:line="264" w:lineRule="auto"/>
        <w:jc w:val="both"/>
        <w:rPr>
          <w:rFonts w:ascii="Arial" w:hAnsi="Arial" w:cs="Arial"/>
          <w:b/>
          <w:color w:val="6C2768"/>
          <w:sz w:val="22"/>
          <w:szCs w:val="22"/>
          <w:lang w:eastAsia="en-GB"/>
        </w:rPr>
      </w:pPr>
      <w:r w:rsidRPr="009232EA">
        <w:rPr>
          <w:rFonts w:ascii="Arial" w:hAnsi="Arial" w:cs="Arial"/>
          <w:b/>
          <w:color w:val="6C2768"/>
          <w:sz w:val="22"/>
          <w:szCs w:val="22"/>
          <w:lang w:eastAsia="en-GB"/>
        </w:rPr>
        <w:lastRenderedPageBreak/>
        <w:t>The Business Base</w:t>
      </w:r>
      <w:bookmarkEnd w:id="27"/>
    </w:p>
    <w:p w:rsidR="00C66A67" w:rsidRPr="009232EA" w:rsidRDefault="00C66A67" w:rsidP="00C66A67">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Scale and Geography</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Almost</w:t>
      </w:r>
      <w:r w:rsidRPr="009C29E6">
        <w:rPr>
          <w:sz w:val="18"/>
          <w:szCs w:val="18"/>
        </w:rPr>
        <w:t xml:space="preserve"> 3,800 businesses operate</w:t>
      </w:r>
      <w:r>
        <w:rPr>
          <w:sz w:val="18"/>
          <w:szCs w:val="18"/>
        </w:rPr>
        <w:t>d</w:t>
      </w:r>
      <w:r w:rsidRPr="009C29E6">
        <w:rPr>
          <w:sz w:val="18"/>
          <w:szCs w:val="18"/>
        </w:rPr>
        <w:t xml:space="preserve"> in Lancas</w:t>
      </w:r>
      <w:r>
        <w:rPr>
          <w:sz w:val="18"/>
          <w:szCs w:val="18"/>
        </w:rPr>
        <w:t>hire’s visitor economy in 2014,</w:t>
      </w:r>
      <w:r w:rsidRPr="009C29E6">
        <w:rPr>
          <w:sz w:val="18"/>
          <w:szCs w:val="18"/>
        </w:rPr>
        <w:t xml:space="preserve"> accounting for 8% of the total business base in the LEP area. Nationally </w:t>
      </w:r>
      <w:r>
        <w:rPr>
          <w:sz w:val="18"/>
          <w:szCs w:val="18"/>
        </w:rPr>
        <w:t>(</w:t>
      </w:r>
      <w:r w:rsidRPr="009C29E6">
        <w:rPr>
          <w:sz w:val="18"/>
          <w:szCs w:val="18"/>
        </w:rPr>
        <w:t>excluding London</w:t>
      </w:r>
      <w:r>
        <w:rPr>
          <w:sz w:val="18"/>
          <w:szCs w:val="18"/>
        </w:rPr>
        <w:t>)</w:t>
      </w:r>
      <w:r w:rsidRPr="009C29E6">
        <w:rPr>
          <w:sz w:val="18"/>
          <w:szCs w:val="18"/>
        </w:rPr>
        <w:t>, the visitor economy accounts for a very similar proportion of the business base</w:t>
      </w:r>
      <w:r w:rsidRPr="009C29E6">
        <w:rPr>
          <w:sz w:val="18"/>
          <w:szCs w:val="18"/>
          <w:vertAlign w:val="superscript"/>
        </w:rPr>
        <w:footnoteReference w:id="24"/>
      </w:r>
      <w:r w:rsidRPr="009C29E6">
        <w:rPr>
          <w:sz w:val="18"/>
          <w:szCs w:val="18"/>
        </w:rPr>
        <w:t xml:space="preserve">.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sidRPr="00687A29">
        <w:rPr>
          <w:sz w:val="18"/>
          <w:szCs w:val="18"/>
        </w:rPr>
        <w:t>East Lancashire has the highest number of visitor economy businesses in the LEP area, although it also has the highest number of businesses per se of the five Lancashire sub-</w:t>
      </w:r>
      <w:r>
        <w:rPr>
          <w:sz w:val="18"/>
          <w:szCs w:val="18"/>
        </w:rPr>
        <w:t>geographies.  The concentration</w:t>
      </w:r>
      <w:r w:rsidRPr="00687A29">
        <w:rPr>
          <w:sz w:val="18"/>
          <w:szCs w:val="18"/>
        </w:rPr>
        <w:t xml:space="preserve"> </w:t>
      </w:r>
      <w:r>
        <w:rPr>
          <w:sz w:val="18"/>
          <w:szCs w:val="18"/>
        </w:rPr>
        <w:t>(</w:t>
      </w:r>
      <w:r w:rsidRPr="00687A29">
        <w:rPr>
          <w:sz w:val="18"/>
          <w:szCs w:val="18"/>
        </w:rPr>
        <w:t>i.e. the share of the total business base accounted for visitor economy businesses</w:t>
      </w:r>
      <w:r>
        <w:rPr>
          <w:sz w:val="18"/>
          <w:szCs w:val="18"/>
        </w:rPr>
        <w:t>)</w:t>
      </w:r>
      <w:r w:rsidRPr="00687A29">
        <w:rPr>
          <w:sz w:val="18"/>
          <w:szCs w:val="18"/>
        </w:rPr>
        <w:t xml:space="preserve"> is, not surprisingly, highest in Blackpool, Fylde and Wyre. </w:t>
      </w:r>
      <w:r>
        <w:rPr>
          <w:sz w:val="18"/>
          <w:szCs w:val="18"/>
        </w:rPr>
        <w:t xml:space="preserve">It is significantly higher still in the </w:t>
      </w:r>
      <w:r w:rsidRPr="00687A29">
        <w:rPr>
          <w:sz w:val="18"/>
          <w:szCs w:val="18"/>
        </w:rPr>
        <w:t>Blackpool</w:t>
      </w:r>
      <w:r>
        <w:rPr>
          <w:sz w:val="18"/>
          <w:szCs w:val="18"/>
        </w:rPr>
        <w:t xml:space="preserve"> local authority area</w:t>
      </w:r>
      <w:r w:rsidRPr="00687A29">
        <w:rPr>
          <w:sz w:val="18"/>
          <w:szCs w:val="18"/>
        </w:rPr>
        <w:t xml:space="preserve">, where nearly one in five of all businesses operate in the visitor economy.  </w:t>
      </w:r>
    </w:p>
    <w:tbl>
      <w:tblPr>
        <w:tblW w:w="63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49"/>
        <w:gridCol w:w="1249"/>
        <w:gridCol w:w="1249"/>
        <w:gridCol w:w="1249"/>
      </w:tblGrid>
      <w:tr w:rsidR="00C66A67" w:rsidRPr="00297EF9" w:rsidTr="003F520D">
        <w:trPr>
          <w:trHeight w:val="385"/>
          <w:jc w:val="center"/>
        </w:trPr>
        <w:tc>
          <w:tcPr>
            <w:tcW w:w="6396" w:type="dxa"/>
            <w:gridSpan w:val="4"/>
            <w:shd w:val="clear" w:color="auto" w:fill="660066"/>
            <w:vAlign w:val="center"/>
          </w:tcPr>
          <w:p w:rsidR="00C66A67" w:rsidRPr="00483AB2" w:rsidRDefault="00922D0F" w:rsidP="003A0984">
            <w:pPr>
              <w:rPr>
                <w:rFonts w:ascii="Arial" w:hAnsi="Arial" w:cs="Arial"/>
                <w:b/>
                <w:color w:val="FFFFFF" w:themeColor="background1"/>
                <w:sz w:val="18"/>
                <w:szCs w:val="18"/>
              </w:rPr>
            </w:pPr>
            <w:r>
              <w:rPr>
                <w:rFonts w:ascii="Arial" w:hAnsi="Arial" w:cs="Arial"/>
                <w:b/>
                <w:color w:val="FFFFFF" w:themeColor="background1"/>
                <w:sz w:val="18"/>
                <w:szCs w:val="18"/>
              </w:rPr>
              <w:t>V</w:t>
            </w:r>
            <w:r w:rsidR="00C66A67" w:rsidRPr="00483AB2">
              <w:rPr>
                <w:rFonts w:ascii="Arial" w:hAnsi="Arial" w:cs="Arial"/>
                <w:b/>
                <w:color w:val="FFFFFF" w:themeColor="background1"/>
                <w:sz w:val="18"/>
                <w:szCs w:val="18"/>
              </w:rPr>
              <w:t xml:space="preserve">isitor Economy Business Base by Sub-Geography </w:t>
            </w:r>
            <w:r w:rsidR="00C66A67">
              <w:rPr>
                <w:rFonts w:ascii="Arial" w:hAnsi="Arial" w:cs="Arial"/>
                <w:b/>
                <w:color w:val="FFFFFF" w:themeColor="background1"/>
                <w:sz w:val="18"/>
                <w:szCs w:val="18"/>
              </w:rPr>
              <w:t>(2014)</w:t>
            </w:r>
          </w:p>
        </w:tc>
      </w:tr>
      <w:tr w:rsidR="00C66A67" w:rsidRPr="00297EF9" w:rsidTr="003F520D">
        <w:trPr>
          <w:trHeight w:val="255"/>
          <w:jc w:val="center"/>
        </w:trPr>
        <w:tc>
          <w:tcPr>
            <w:tcW w:w="2649" w:type="dxa"/>
            <w:shd w:val="clear" w:color="auto" w:fill="auto"/>
            <w:noWrap/>
            <w:vAlign w:val="center"/>
            <w:hideMark/>
          </w:tcPr>
          <w:p w:rsidR="00C66A67" w:rsidRPr="00483AB2" w:rsidRDefault="00C66A67" w:rsidP="003A0984">
            <w:pPr>
              <w:jc w:val="center"/>
              <w:rPr>
                <w:rFonts w:ascii="Arial" w:hAnsi="Arial" w:cs="Arial"/>
                <w:sz w:val="18"/>
                <w:szCs w:val="18"/>
              </w:rPr>
            </w:pPr>
          </w:p>
        </w:tc>
        <w:tc>
          <w:tcPr>
            <w:tcW w:w="1249" w:type="dxa"/>
            <w:shd w:val="clear" w:color="auto" w:fill="auto"/>
            <w:noWrap/>
            <w:vAlign w:val="center"/>
            <w:hideMark/>
          </w:tcPr>
          <w:p w:rsidR="00C66A67" w:rsidRPr="00483AB2" w:rsidRDefault="00C66A67" w:rsidP="003A0984">
            <w:pPr>
              <w:jc w:val="right"/>
              <w:rPr>
                <w:rFonts w:ascii="Arial" w:hAnsi="Arial" w:cs="Arial"/>
                <w:b/>
                <w:sz w:val="18"/>
                <w:szCs w:val="18"/>
              </w:rPr>
            </w:pPr>
            <w:r w:rsidRPr="00483AB2">
              <w:rPr>
                <w:rFonts w:ascii="Arial" w:hAnsi="Arial" w:cs="Arial"/>
                <w:b/>
                <w:sz w:val="18"/>
                <w:szCs w:val="18"/>
              </w:rPr>
              <w:t>No.</w:t>
            </w:r>
          </w:p>
        </w:tc>
        <w:tc>
          <w:tcPr>
            <w:tcW w:w="1249" w:type="dxa"/>
            <w:vAlign w:val="center"/>
          </w:tcPr>
          <w:p w:rsidR="00C66A67" w:rsidRPr="00F94CEC" w:rsidRDefault="00C66A67" w:rsidP="003A0984">
            <w:pPr>
              <w:jc w:val="right"/>
              <w:rPr>
                <w:rFonts w:ascii="Arial" w:hAnsi="Arial" w:cs="Arial"/>
                <w:b/>
                <w:sz w:val="18"/>
                <w:szCs w:val="18"/>
              </w:rPr>
            </w:pPr>
            <w:r w:rsidRPr="00F94CEC">
              <w:rPr>
                <w:rFonts w:ascii="Arial" w:hAnsi="Arial" w:cs="Arial"/>
                <w:b/>
                <w:sz w:val="18"/>
                <w:szCs w:val="18"/>
              </w:rPr>
              <w:t>% of sub-geography business base</w:t>
            </w:r>
          </w:p>
        </w:tc>
        <w:tc>
          <w:tcPr>
            <w:tcW w:w="1249" w:type="dxa"/>
            <w:shd w:val="clear" w:color="auto" w:fill="auto"/>
            <w:noWrap/>
            <w:vAlign w:val="center"/>
          </w:tcPr>
          <w:p w:rsidR="00C66A67" w:rsidRPr="00483AB2" w:rsidRDefault="00C66A67" w:rsidP="003A0984">
            <w:pPr>
              <w:jc w:val="right"/>
              <w:rPr>
                <w:rFonts w:ascii="Arial" w:hAnsi="Arial" w:cs="Arial"/>
                <w:b/>
                <w:sz w:val="18"/>
                <w:szCs w:val="18"/>
              </w:rPr>
            </w:pPr>
            <w:r>
              <w:rPr>
                <w:rFonts w:ascii="Arial" w:hAnsi="Arial" w:cs="Arial"/>
                <w:b/>
                <w:sz w:val="18"/>
                <w:szCs w:val="18"/>
              </w:rPr>
              <w:t>% of Lancashire total</w:t>
            </w:r>
          </w:p>
        </w:tc>
      </w:tr>
      <w:tr w:rsidR="00C66A67" w:rsidRPr="00297EF9" w:rsidTr="003F520D">
        <w:trPr>
          <w:trHeight w:val="255"/>
          <w:jc w:val="center"/>
        </w:trPr>
        <w:tc>
          <w:tcPr>
            <w:tcW w:w="2649" w:type="dxa"/>
            <w:shd w:val="clear" w:color="auto" w:fill="auto"/>
            <w:noWrap/>
            <w:vAlign w:val="bottom"/>
            <w:hideMark/>
          </w:tcPr>
          <w:p w:rsidR="00C66A67" w:rsidRPr="00483AB2" w:rsidRDefault="00C66A67" w:rsidP="003A0984">
            <w:pPr>
              <w:rPr>
                <w:rFonts w:ascii="Arial" w:hAnsi="Arial" w:cs="Arial"/>
                <w:sz w:val="18"/>
                <w:szCs w:val="18"/>
              </w:rPr>
            </w:pPr>
            <w:r w:rsidRPr="00483AB2">
              <w:rPr>
                <w:rFonts w:ascii="Arial" w:hAnsi="Arial" w:cs="Arial"/>
                <w:sz w:val="18"/>
                <w:szCs w:val="18"/>
              </w:rPr>
              <w:t>East Lancashire</w:t>
            </w:r>
          </w:p>
        </w:tc>
        <w:tc>
          <w:tcPr>
            <w:tcW w:w="1249" w:type="dxa"/>
            <w:shd w:val="clear" w:color="auto" w:fill="auto"/>
            <w:noWrap/>
            <w:vAlign w:val="bottom"/>
            <w:hideMark/>
          </w:tcPr>
          <w:p w:rsidR="00C66A67" w:rsidRPr="00483AB2" w:rsidRDefault="00C66A67" w:rsidP="003A0984">
            <w:pPr>
              <w:jc w:val="right"/>
              <w:rPr>
                <w:rFonts w:ascii="Arial" w:hAnsi="Arial" w:cs="Arial"/>
                <w:sz w:val="18"/>
                <w:szCs w:val="18"/>
              </w:rPr>
            </w:pPr>
            <w:r w:rsidRPr="00483AB2">
              <w:rPr>
                <w:rFonts w:ascii="Arial" w:hAnsi="Arial" w:cs="Arial"/>
                <w:sz w:val="18"/>
                <w:szCs w:val="18"/>
              </w:rPr>
              <w:t>1,250</w:t>
            </w:r>
          </w:p>
        </w:tc>
        <w:tc>
          <w:tcPr>
            <w:tcW w:w="1249" w:type="dxa"/>
            <w:vAlign w:val="bottom"/>
          </w:tcPr>
          <w:p w:rsidR="00C66A67" w:rsidRPr="00F94CEC" w:rsidRDefault="00C66A67" w:rsidP="003A0984">
            <w:pPr>
              <w:jc w:val="right"/>
              <w:rPr>
                <w:rFonts w:ascii="Arial" w:hAnsi="Arial" w:cs="Arial"/>
                <w:sz w:val="18"/>
                <w:szCs w:val="18"/>
              </w:rPr>
            </w:pPr>
            <w:r w:rsidRPr="00F94CEC">
              <w:rPr>
                <w:rFonts w:ascii="Arial" w:hAnsi="Arial" w:cs="Arial"/>
                <w:sz w:val="18"/>
                <w:szCs w:val="18"/>
              </w:rPr>
              <w:t>8%</w:t>
            </w:r>
          </w:p>
        </w:tc>
        <w:tc>
          <w:tcPr>
            <w:tcW w:w="1249" w:type="dxa"/>
            <w:shd w:val="clear" w:color="auto" w:fill="auto"/>
            <w:noWrap/>
            <w:vAlign w:val="bottom"/>
          </w:tcPr>
          <w:p w:rsidR="00C66A67" w:rsidRPr="00483AB2" w:rsidRDefault="00C66A67" w:rsidP="003A0984">
            <w:pPr>
              <w:jc w:val="right"/>
              <w:rPr>
                <w:rFonts w:ascii="Arial" w:hAnsi="Arial" w:cs="Arial"/>
                <w:sz w:val="18"/>
                <w:szCs w:val="18"/>
              </w:rPr>
            </w:pPr>
            <w:r w:rsidRPr="00172B04">
              <w:rPr>
                <w:rFonts w:ascii="Arial" w:hAnsi="Arial" w:cs="Arial"/>
                <w:sz w:val="18"/>
                <w:szCs w:val="18"/>
              </w:rPr>
              <w:t>33%</w:t>
            </w:r>
          </w:p>
        </w:tc>
      </w:tr>
      <w:tr w:rsidR="00C66A67" w:rsidRPr="00297EF9" w:rsidTr="003F520D">
        <w:trPr>
          <w:trHeight w:val="255"/>
          <w:jc w:val="center"/>
        </w:trPr>
        <w:tc>
          <w:tcPr>
            <w:tcW w:w="2649" w:type="dxa"/>
            <w:shd w:val="clear" w:color="auto" w:fill="auto"/>
            <w:noWrap/>
            <w:vAlign w:val="bottom"/>
            <w:hideMark/>
          </w:tcPr>
          <w:p w:rsidR="00C66A67" w:rsidRPr="00483AB2" w:rsidRDefault="00C66A67" w:rsidP="003A0984">
            <w:pPr>
              <w:rPr>
                <w:rFonts w:ascii="Arial" w:hAnsi="Arial" w:cs="Arial"/>
                <w:sz w:val="18"/>
                <w:szCs w:val="18"/>
              </w:rPr>
            </w:pPr>
            <w:r w:rsidRPr="00483AB2">
              <w:rPr>
                <w:rFonts w:ascii="Arial" w:hAnsi="Arial" w:cs="Arial"/>
                <w:sz w:val="18"/>
                <w:szCs w:val="18"/>
              </w:rPr>
              <w:t>Blackpool, Fylde and Wyre</w:t>
            </w:r>
          </w:p>
        </w:tc>
        <w:tc>
          <w:tcPr>
            <w:tcW w:w="1249" w:type="dxa"/>
            <w:shd w:val="clear" w:color="auto" w:fill="auto"/>
            <w:noWrap/>
            <w:vAlign w:val="bottom"/>
            <w:hideMark/>
          </w:tcPr>
          <w:p w:rsidR="00C66A67" w:rsidRPr="00483AB2" w:rsidRDefault="00C66A67" w:rsidP="003A0984">
            <w:pPr>
              <w:jc w:val="right"/>
              <w:rPr>
                <w:rFonts w:ascii="Arial" w:hAnsi="Arial" w:cs="Arial"/>
                <w:sz w:val="18"/>
                <w:szCs w:val="18"/>
              </w:rPr>
            </w:pPr>
            <w:r w:rsidRPr="00483AB2">
              <w:rPr>
                <w:rFonts w:ascii="Arial" w:hAnsi="Arial" w:cs="Arial"/>
                <w:sz w:val="18"/>
                <w:szCs w:val="18"/>
              </w:rPr>
              <w:t>1,075</w:t>
            </w:r>
          </w:p>
        </w:tc>
        <w:tc>
          <w:tcPr>
            <w:tcW w:w="1249" w:type="dxa"/>
            <w:vAlign w:val="bottom"/>
          </w:tcPr>
          <w:p w:rsidR="00C66A67" w:rsidRPr="00F94CEC" w:rsidRDefault="00C66A67" w:rsidP="003A0984">
            <w:pPr>
              <w:jc w:val="right"/>
              <w:rPr>
                <w:rFonts w:ascii="Arial" w:hAnsi="Arial" w:cs="Arial"/>
                <w:sz w:val="18"/>
                <w:szCs w:val="18"/>
              </w:rPr>
            </w:pPr>
            <w:r w:rsidRPr="00F94CEC">
              <w:rPr>
                <w:rFonts w:ascii="Arial" w:hAnsi="Arial" w:cs="Arial"/>
                <w:sz w:val="18"/>
                <w:szCs w:val="18"/>
              </w:rPr>
              <w:t>11%</w:t>
            </w:r>
          </w:p>
        </w:tc>
        <w:tc>
          <w:tcPr>
            <w:tcW w:w="1249" w:type="dxa"/>
            <w:shd w:val="clear" w:color="auto" w:fill="auto"/>
            <w:noWrap/>
            <w:vAlign w:val="bottom"/>
          </w:tcPr>
          <w:p w:rsidR="00C66A67" w:rsidRPr="00483AB2" w:rsidRDefault="00C66A67" w:rsidP="003A0984">
            <w:pPr>
              <w:jc w:val="right"/>
              <w:rPr>
                <w:rFonts w:ascii="Arial" w:hAnsi="Arial" w:cs="Arial"/>
                <w:sz w:val="18"/>
                <w:szCs w:val="18"/>
              </w:rPr>
            </w:pPr>
            <w:r w:rsidRPr="00172B04">
              <w:rPr>
                <w:rFonts w:ascii="Arial" w:hAnsi="Arial" w:cs="Arial"/>
                <w:sz w:val="18"/>
                <w:szCs w:val="18"/>
              </w:rPr>
              <w:t>28%</w:t>
            </w:r>
          </w:p>
        </w:tc>
      </w:tr>
      <w:tr w:rsidR="00C66A67" w:rsidRPr="00297EF9" w:rsidTr="003F520D">
        <w:trPr>
          <w:trHeight w:val="255"/>
          <w:jc w:val="center"/>
        </w:trPr>
        <w:tc>
          <w:tcPr>
            <w:tcW w:w="2649" w:type="dxa"/>
            <w:shd w:val="clear" w:color="auto" w:fill="auto"/>
            <w:noWrap/>
            <w:vAlign w:val="bottom"/>
            <w:hideMark/>
          </w:tcPr>
          <w:p w:rsidR="00C66A67" w:rsidRPr="00483AB2" w:rsidRDefault="00C66A67" w:rsidP="003A0984">
            <w:pPr>
              <w:rPr>
                <w:rFonts w:ascii="Arial" w:hAnsi="Arial" w:cs="Arial"/>
                <w:sz w:val="18"/>
                <w:szCs w:val="18"/>
              </w:rPr>
            </w:pPr>
            <w:r w:rsidRPr="00483AB2">
              <w:rPr>
                <w:rFonts w:ascii="Arial" w:hAnsi="Arial" w:cs="Arial"/>
                <w:sz w:val="18"/>
                <w:szCs w:val="18"/>
              </w:rPr>
              <w:t>Central Lancashire</w:t>
            </w:r>
          </w:p>
        </w:tc>
        <w:tc>
          <w:tcPr>
            <w:tcW w:w="1249" w:type="dxa"/>
            <w:shd w:val="clear" w:color="auto" w:fill="auto"/>
            <w:noWrap/>
            <w:vAlign w:val="bottom"/>
            <w:hideMark/>
          </w:tcPr>
          <w:p w:rsidR="00C66A67" w:rsidRPr="00483AB2" w:rsidRDefault="00C66A67" w:rsidP="003A0984">
            <w:pPr>
              <w:jc w:val="right"/>
              <w:rPr>
                <w:rFonts w:ascii="Arial" w:hAnsi="Arial" w:cs="Arial"/>
                <w:sz w:val="18"/>
                <w:szCs w:val="18"/>
              </w:rPr>
            </w:pPr>
            <w:r w:rsidRPr="00483AB2">
              <w:rPr>
                <w:rFonts w:ascii="Arial" w:hAnsi="Arial" w:cs="Arial"/>
                <w:sz w:val="18"/>
                <w:szCs w:val="18"/>
              </w:rPr>
              <w:t>820</w:t>
            </w:r>
          </w:p>
        </w:tc>
        <w:tc>
          <w:tcPr>
            <w:tcW w:w="1249" w:type="dxa"/>
            <w:vAlign w:val="bottom"/>
          </w:tcPr>
          <w:p w:rsidR="00C66A67" w:rsidRPr="00F94CEC" w:rsidRDefault="00C66A67" w:rsidP="003A0984">
            <w:pPr>
              <w:jc w:val="right"/>
              <w:rPr>
                <w:rFonts w:ascii="Arial" w:hAnsi="Arial" w:cs="Arial"/>
                <w:sz w:val="18"/>
                <w:szCs w:val="18"/>
              </w:rPr>
            </w:pPr>
            <w:r w:rsidRPr="00F94CEC">
              <w:rPr>
                <w:rFonts w:ascii="Arial" w:hAnsi="Arial" w:cs="Arial"/>
                <w:sz w:val="18"/>
                <w:szCs w:val="18"/>
              </w:rPr>
              <w:t>7%</w:t>
            </w:r>
          </w:p>
        </w:tc>
        <w:tc>
          <w:tcPr>
            <w:tcW w:w="1249" w:type="dxa"/>
            <w:shd w:val="clear" w:color="auto" w:fill="auto"/>
            <w:noWrap/>
            <w:vAlign w:val="bottom"/>
          </w:tcPr>
          <w:p w:rsidR="00C66A67" w:rsidRPr="00483AB2" w:rsidRDefault="00C66A67" w:rsidP="003A0984">
            <w:pPr>
              <w:jc w:val="right"/>
              <w:rPr>
                <w:rFonts w:ascii="Arial" w:hAnsi="Arial" w:cs="Arial"/>
                <w:sz w:val="18"/>
                <w:szCs w:val="18"/>
              </w:rPr>
            </w:pPr>
            <w:r w:rsidRPr="00172B04">
              <w:rPr>
                <w:rFonts w:ascii="Arial" w:hAnsi="Arial" w:cs="Arial"/>
                <w:sz w:val="18"/>
                <w:szCs w:val="18"/>
              </w:rPr>
              <w:t>22%</w:t>
            </w:r>
          </w:p>
        </w:tc>
      </w:tr>
      <w:tr w:rsidR="00C66A67" w:rsidRPr="00297EF9" w:rsidTr="003F520D">
        <w:trPr>
          <w:trHeight w:val="255"/>
          <w:jc w:val="center"/>
        </w:trPr>
        <w:tc>
          <w:tcPr>
            <w:tcW w:w="2649" w:type="dxa"/>
            <w:shd w:val="clear" w:color="auto" w:fill="auto"/>
            <w:noWrap/>
            <w:vAlign w:val="bottom"/>
            <w:hideMark/>
          </w:tcPr>
          <w:p w:rsidR="00C66A67" w:rsidRPr="00483AB2" w:rsidRDefault="00C66A67" w:rsidP="003A0984">
            <w:pPr>
              <w:rPr>
                <w:rFonts w:ascii="Arial" w:hAnsi="Arial" w:cs="Arial"/>
                <w:sz w:val="18"/>
                <w:szCs w:val="18"/>
              </w:rPr>
            </w:pPr>
            <w:r w:rsidRPr="00483AB2">
              <w:rPr>
                <w:rFonts w:ascii="Arial" w:hAnsi="Arial" w:cs="Arial"/>
                <w:sz w:val="18"/>
                <w:szCs w:val="18"/>
              </w:rPr>
              <w:t>Lancaster</w:t>
            </w:r>
          </w:p>
        </w:tc>
        <w:tc>
          <w:tcPr>
            <w:tcW w:w="1249" w:type="dxa"/>
            <w:shd w:val="clear" w:color="auto" w:fill="auto"/>
            <w:noWrap/>
            <w:vAlign w:val="bottom"/>
            <w:hideMark/>
          </w:tcPr>
          <w:p w:rsidR="00C66A67" w:rsidRPr="00483AB2" w:rsidRDefault="00C66A67" w:rsidP="003A0984">
            <w:pPr>
              <w:jc w:val="right"/>
              <w:rPr>
                <w:rFonts w:ascii="Arial" w:hAnsi="Arial" w:cs="Arial"/>
                <w:sz w:val="18"/>
                <w:szCs w:val="18"/>
              </w:rPr>
            </w:pPr>
            <w:r w:rsidRPr="00483AB2">
              <w:rPr>
                <w:rFonts w:ascii="Arial" w:hAnsi="Arial" w:cs="Arial"/>
                <w:sz w:val="18"/>
                <w:szCs w:val="18"/>
              </w:rPr>
              <w:t>385</w:t>
            </w:r>
          </w:p>
        </w:tc>
        <w:tc>
          <w:tcPr>
            <w:tcW w:w="1249" w:type="dxa"/>
            <w:vAlign w:val="bottom"/>
          </w:tcPr>
          <w:p w:rsidR="00C66A67" w:rsidRPr="00F94CEC" w:rsidRDefault="00C66A67" w:rsidP="003A0984">
            <w:pPr>
              <w:jc w:val="right"/>
              <w:rPr>
                <w:rFonts w:ascii="Arial" w:hAnsi="Arial" w:cs="Arial"/>
                <w:sz w:val="18"/>
                <w:szCs w:val="18"/>
              </w:rPr>
            </w:pPr>
            <w:r w:rsidRPr="00F94CEC">
              <w:rPr>
                <w:rFonts w:ascii="Arial" w:hAnsi="Arial" w:cs="Arial"/>
                <w:sz w:val="18"/>
                <w:szCs w:val="18"/>
              </w:rPr>
              <w:t>9%</w:t>
            </w:r>
          </w:p>
        </w:tc>
        <w:tc>
          <w:tcPr>
            <w:tcW w:w="1249" w:type="dxa"/>
            <w:shd w:val="clear" w:color="auto" w:fill="auto"/>
            <w:noWrap/>
            <w:vAlign w:val="bottom"/>
          </w:tcPr>
          <w:p w:rsidR="00C66A67" w:rsidRPr="00483AB2" w:rsidRDefault="00C66A67" w:rsidP="003A0984">
            <w:pPr>
              <w:jc w:val="right"/>
              <w:rPr>
                <w:rFonts w:ascii="Arial" w:hAnsi="Arial" w:cs="Arial"/>
                <w:sz w:val="18"/>
                <w:szCs w:val="18"/>
              </w:rPr>
            </w:pPr>
            <w:r w:rsidRPr="00172B04">
              <w:rPr>
                <w:rFonts w:ascii="Arial" w:hAnsi="Arial" w:cs="Arial"/>
                <w:sz w:val="18"/>
                <w:szCs w:val="18"/>
              </w:rPr>
              <w:t>10%</w:t>
            </w:r>
          </w:p>
        </w:tc>
      </w:tr>
      <w:tr w:rsidR="00C66A67" w:rsidRPr="00297EF9" w:rsidTr="003F520D">
        <w:trPr>
          <w:trHeight w:val="255"/>
          <w:jc w:val="center"/>
        </w:trPr>
        <w:tc>
          <w:tcPr>
            <w:tcW w:w="2649" w:type="dxa"/>
            <w:shd w:val="clear" w:color="auto" w:fill="auto"/>
            <w:noWrap/>
            <w:vAlign w:val="bottom"/>
            <w:hideMark/>
          </w:tcPr>
          <w:p w:rsidR="00C66A67" w:rsidRPr="00483AB2" w:rsidRDefault="00C66A67" w:rsidP="003A0984">
            <w:pPr>
              <w:rPr>
                <w:rFonts w:ascii="Arial" w:hAnsi="Arial" w:cs="Arial"/>
                <w:sz w:val="18"/>
                <w:szCs w:val="18"/>
              </w:rPr>
            </w:pPr>
            <w:r w:rsidRPr="00483AB2">
              <w:rPr>
                <w:rFonts w:ascii="Arial" w:hAnsi="Arial" w:cs="Arial"/>
                <w:sz w:val="18"/>
                <w:szCs w:val="18"/>
              </w:rPr>
              <w:t>West Lancashire</w:t>
            </w:r>
          </w:p>
        </w:tc>
        <w:tc>
          <w:tcPr>
            <w:tcW w:w="1249" w:type="dxa"/>
            <w:shd w:val="clear" w:color="auto" w:fill="auto"/>
            <w:noWrap/>
            <w:vAlign w:val="bottom"/>
            <w:hideMark/>
          </w:tcPr>
          <w:p w:rsidR="00C66A67" w:rsidRPr="00483AB2" w:rsidRDefault="00C66A67" w:rsidP="003A0984">
            <w:pPr>
              <w:jc w:val="right"/>
              <w:rPr>
                <w:rFonts w:ascii="Arial" w:hAnsi="Arial" w:cs="Arial"/>
                <w:sz w:val="18"/>
                <w:szCs w:val="18"/>
              </w:rPr>
            </w:pPr>
            <w:r w:rsidRPr="00483AB2">
              <w:rPr>
                <w:rFonts w:ascii="Arial" w:hAnsi="Arial" w:cs="Arial"/>
                <w:sz w:val="18"/>
                <w:szCs w:val="18"/>
              </w:rPr>
              <w:t>270</w:t>
            </w:r>
          </w:p>
        </w:tc>
        <w:tc>
          <w:tcPr>
            <w:tcW w:w="1249" w:type="dxa"/>
            <w:vAlign w:val="bottom"/>
          </w:tcPr>
          <w:p w:rsidR="00C66A67" w:rsidRPr="00F94CEC" w:rsidRDefault="00C66A67" w:rsidP="003A0984">
            <w:pPr>
              <w:jc w:val="right"/>
              <w:rPr>
                <w:rFonts w:ascii="Arial" w:hAnsi="Arial" w:cs="Arial"/>
                <w:sz w:val="18"/>
                <w:szCs w:val="18"/>
              </w:rPr>
            </w:pPr>
            <w:r w:rsidRPr="00F94CEC">
              <w:rPr>
                <w:rFonts w:ascii="Arial" w:hAnsi="Arial" w:cs="Arial"/>
                <w:sz w:val="18"/>
                <w:szCs w:val="18"/>
              </w:rPr>
              <w:t>7%</w:t>
            </w:r>
          </w:p>
        </w:tc>
        <w:tc>
          <w:tcPr>
            <w:tcW w:w="1249" w:type="dxa"/>
            <w:shd w:val="clear" w:color="auto" w:fill="auto"/>
            <w:noWrap/>
            <w:vAlign w:val="bottom"/>
          </w:tcPr>
          <w:p w:rsidR="00C66A67" w:rsidRPr="00483AB2" w:rsidRDefault="00C66A67" w:rsidP="003A0984">
            <w:pPr>
              <w:jc w:val="right"/>
              <w:rPr>
                <w:rFonts w:ascii="Arial" w:hAnsi="Arial" w:cs="Arial"/>
                <w:sz w:val="18"/>
                <w:szCs w:val="18"/>
              </w:rPr>
            </w:pPr>
            <w:r w:rsidRPr="00172B04">
              <w:rPr>
                <w:rFonts w:ascii="Arial" w:hAnsi="Arial" w:cs="Arial"/>
                <w:sz w:val="18"/>
                <w:szCs w:val="18"/>
              </w:rPr>
              <w:t>7%</w:t>
            </w:r>
          </w:p>
        </w:tc>
      </w:tr>
      <w:tr w:rsidR="00C66A67" w:rsidRPr="00297EF9" w:rsidTr="003F520D">
        <w:trPr>
          <w:trHeight w:val="255"/>
          <w:jc w:val="center"/>
        </w:trPr>
        <w:tc>
          <w:tcPr>
            <w:tcW w:w="2649" w:type="dxa"/>
            <w:shd w:val="clear" w:color="auto" w:fill="auto"/>
            <w:noWrap/>
            <w:vAlign w:val="bottom"/>
            <w:hideMark/>
          </w:tcPr>
          <w:p w:rsidR="00C66A67" w:rsidRPr="00351BBF" w:rsidRDefault="00C66A67" w:rsidP="003A0984">
            <w:pPr>
              <w:rPr>
                <w:rFonts w:ascii="Arial" w:hAnsi="Arial" w:cs="Arial"/>
                <w:b/>
                <w:sz w:val="18"/>
                <w:szCs w:val="18"/>
              </w:rPr>
            </w:pPr>
            <w:r w:rsidRPr="00351BBF">
              <w:rPr>
                <w:rFonts w:ascii="Arial" w:hAnsi="Arial" w:cs="Arial"/>
                <w:b/>
                <w:sz w:val="18"/>
                <w:szCs w:val="18"/>
              </w:rPr>
              <w:t>Total</w:t>
            </w:r>
          </w:p>
        </w:tc>
        <w:tc>
          <w:tcPr>
            <w:tcW w:w="1249" w:type="dxa"/>
            <w:shd w:val="clear" w:color="auto" w:fill="auto"/>
            <w:noWrap/>
            <w:vAlign w:val="bottom"/>
            <w:hideMark/>
          </w:tcPr>
          <w:p w:rsidR="00C66A67" w:rsidRPr="00351BBF" w:rsidRDefault="00C66A67" w:rsidP="003A0984">
            <w:pPr>
              <w:jc w:val="right"/>
              <w:rPr>
                <w:rFonts w:ascii="Arial" w:hAnsi="Arial" w:cs="Arial"/>
                <w:b/>
                <w:sz w:val="18"/>
                <w:szCs w:val="18"/>
              </w:rPr>
            </w:pPr>
            <w:r w:rsidRPr="00351BBF">
              <w:rPr>
                <w:rFonts w:ascii="Arial" w:hAnsi="Arial" w:cs="Arial"/>
                <w:b/>
                <w:sz w:val="18"/>
                <w:szCs w:val="18"/>
              </w:rPr>
              <w:t>3,795</w:t>
            </w:r>
          </w:p>
        </w:tc>
        <w:tc>
          <w:tcPr>
            <w:tcW w:w="1249" w:type="dxa"/>
            <w:vAlign w:val="bottom"/>
          </w:tcPr>
          <w:p w:rsidR="00C66A67" w:rsidRPr="00F94CEC" w:rsidRDefault="00C66A67" w:rsidP="003A0984">
            <w:pPr>
              <w:jc w:val="right"/>
              <w:rPr>
                <w:rFonts w:ascii="Arial" w:hAnsi="Arial" w:cs="Arial"/>
                <w:b/>
                <w:sz w:val="18"/>
                <w:szCs w:val="18"/>
              </w:rPr>
            </w:pPr>
            <w:r w:rsidRPr="00F94CEC">
              <w:rPr>
                <w:rFonts w:ascii="Arial" w:hAnsi="Arial" w:cs="Arial"/>
                <w:b/>
                <w:sz w:val="18"/>
                <w:szCs w:val="18"/>
              </w:rPr>
              <w:t>8%</w:t>
            </w:r>
          </w:p>
        </w:tc>
        <w:tc>
          <w:tcPr>
            <w:tcW w:w="1249" w:type="dxa"/>
            <w:shd w:val="clear" w:color="auto" w:fill="auto"/>
            <w:noWrap/>
            <w:vAlign w:val="bottom"/>
          </w:tcPr>
          <w:p w:rsidR="00C66A67" w:rsidRPr="00351BBF" w:rsidRDefault="00C66A67" w:rsidP="003A0984">
            <w:pPr>
              <w:jc w:val="right"/>
              <w:rPr>
                <w:rFonts w:ascii="Arial" w:hAnsi="Arial" w:cs="Arial"/>
                <w:b/>
                <w:sz w:val="18"/>
                <w:szCs w:val="18"/>
              </w:rPr>
            </w:pPr>
            <w:r w:rsidRPr="00351BBF">
              <w:rPr>
                <w:rFonts w:ascii="Arial" w:hAnsi="Arial" w:cs="Arial"/>
                <w:b/>
                <w:sz w:val="18"/>
                <w:szCs w:val="18"/>
              </w:rPr>
              <w:t>100%</w:t>
            </w:r>
          </w:p>
        </w:tc>
      </w:tr>
      <w:tr w:rsidR="00C66A67" w:rsidRPr="00297EF9" w:rsidTr="003F520D">
        <w:trPr>
          <w:trHeight w:val="255"/>
          <w:jc w:val="center"/>
        </w:trPr>
        <w:tc>
          <w:tcPr>
            <w:tcW w:w="6396" w:type="dxa"/>
            <w:gridSpan w:val="4"/>
          </w:tcPr>
          <w:p w:rsidR="00C66A67" w:rsidRPr="00483AB2" w:rsidRDefault="00C66A67" w:rsidP="003A0984">
            <w:pPr>
              <w:rPr>
                <w:rFonts w:ascii="Arial" w:hAnsi="Arial" w:cs="Arial"/>
                <w:sz w:val="18"/>
                <w:szCs w:val="18"/>
              </w:rPr>
            </w:pPr>
            <w:r w:rsidRPr="00483AB2">
              <w:rPr>
                <w:rFonts w:ascii="Arial" w:hAnsi="Arial" w:cs="Arial"/>
                <w:bCs/>
                <w:iCs/>
                <w:sz w:val="18"/>
                <w:szCs w:val="18"/>
              </w:rPr>
              <w:t xml:space="preserve">Source: UK Business Count.  Note data from this source is subject to rounding and sub-geographies </w:t>
            </w:r>
            <w:r>
              <w:rPr>
                <w:rFonts w:ascii="Arial" w:hAnsi="Arial" w:cs="Arial"/>
                <w:bCs/>
                <w:iCs/>
                <w:sz w:val="18"/>
                <w:szCs w:val="18"/>
              </w:rPr>
              <w:t xml:space="preserve">therefore </w:t>
            </w:r>
            <w:r w:rsidRPr="00483AB2">
              <w:rPr>
                <w:rFonts w:ascii="Arial" w:hAnsi="Arial" w:cs="Arial"/>
                <w:bCs/>
                <w:iCs/>
                <w:sz w:val="18"/>
                <w:szCs w:val="18"/>
              </w:rPr>
              <w:t>do not sum to the LEP total</w:t>
            </w:r>
            <w:r>
              <w:rPr>
                <w:rFonts w:ascii="Arial" w:hAnsi="Arial" w:cs="Arial"/>
                <w:bCs/>
                <w:iCs/>
                <w:sz w:val="18"/>
                <w:szCs w:val="18"/>
              </w:rPr>
              <w:t>.</w:t>
            </w:r>
          </w:p>
        </w:tc>
      </w:tr>
    </w:tbl>
    <w:p w:rsidR="00C66A67" w:rsidRPr="00570B2F" w:rsidRDefault="00C66A67" w:rsidP="00C66A67">
      <w:pPr>
        <w:tabs>
          <w:tab w:val="num" w:pos="860"/>
          <w:tab w:val="num" w:pos="1105"/>
        </w:tabs>
        <w:spacing w:before="120" w:after="120" w:line="288" w:lineRule="auto"/>
        <w:jc w:val="both"/>
        <w:rPr>
          <w:rFonts w:ascii="Arial" w:hAnsi="Arial" w:cs="Arial"/>
          <w:b/>
          <w:color w:val="660066"/>
          <w:sz w:val="10"/>
          <w:szCs w:val="10"/>
        </w:rPr>
      </w:pP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 xml:space="preserve">Sub-Sector Profile </w:t>
      </w:r>
    </w:p>
    <w:p w:rsidR="00C66A67" w:rsidRDefault="003F520D"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Approximately t</w:t>
      </w:r>
      <w:r w:rsidR="00C66A67">
        <w:rPr>
          <w:sz w:val="18"/>
          <w:szCs w:val="18"/>
        </w:rPr>
        <w:t xml:space="preserve">wo thirds of visitor economy businesses operate in the food and services sub-sector, both within Lancashire and nationally (excluding </w:t>
      </w:r>
      <w:r w:rsidR="00C66A67">
        <w:rPr>
          <w:sz w:val="18"/>
          <w:szCs w:val="18"/>
        </w:rPr>
        <w:lastRenderedPageBreak/>
        <w:t xml:space="preserve">London). Relative to the national business base, Lancashire has an above average proportion of accommodation businesses but is under-represented in terms of businesses offering creative, arts and entertainment activities.  </w:t>
      </w:r>
    </w:p>
    <w:tbl>
      <w:tblPr>
        <w:tblW w:w="6538" w:type="dxa"/>
        <w:tblInd w:w="9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11"/>
        <w:gridCol w:w="992"/>
        <w:gridCol w:w="1276"/>
        <w:gridCol w:w="1559"/>
      </w:tblGrid>
      <w:tr w:rsidR="00C66A67" w:rsidRPr="00297EF9" w:rsidTr="003F520D">
        <w:trPr>
          <w:trHeight w:val="385"/>
        </w:trPr>
        <w:tc>
          <w:tcPr>
            <w:tcW w:w="6538" w:type="dxa"/>
            <w:gridSpan w:val="4"/>
            <w:shd w:val="clear" w:color="auto" w:fill="660066"/>
            <w:vAlign w:val="center"/>
          </w:tcPr>
          <w:p w:rsidR="00C66A67" w:rsidRPr="00483AB2" w:rsidRDefault="00922D0F" w:rsidP="003A0984">
            <w:pPr>
              <w:rPr>
                <w:rFonts w:ascii="Arial" w:hAnsi="Arial" w:cs="Arial"/>
                <w:b/>
                <w:color w:val="FFFFFF" w:themeColor="background1"/>
                <w:sz w:val="18"/>
                <w:szCs w:val="18"/>
              </w:rPr>
            </w:pPr>
            <w:r>
              <w:rPr>
                <w:rFonts w:ascii="Arial" w:hAnsi="Arial" w:cs="Arial"/>
                <w:b/>
                <w:color w:val="FFFFFF" w:themeColor="background1"/>
                <w:sz w:val="18"/>
                <w:szCs w:val="18"/>
              </w:rPr>
              <w:t>Vi</w:t>
            </w:r>
            <w:r w:rsidR="00C66A67" w:rsidRPr="00483AB2">
              <w:rPr>
                <w:rFonts w:ascii="Arial" w:hAnsi="Arial" w:cs="Arial"/>
                <w:b/>
                <w:color w:val="FFFFFF" w:themeColor="background1"/>
                <w:sz w:val="18"/>
                <w:szCs w:val="18"/>
              </w:rPr>
              <w:t>sito</w:t>
            </w:r>
            <w:r w:rsidR="00C66A67">
              <w:rPr>
                <w:rFonts w:ascii="Arial" w:hAnsi="Arial" w:cs="Arial"/>
                <w:b/>
                <w:color w:val="FFFFFF" w:themeColor="background1"/>
                <w:sz w:val="18"/>
                <w:szCs w:val="18"/>
              </w:rPr>
              <w:t>r Economy Business Base by Sub-Sector</w:t>
            </w:r>
            <w:r w:rsidR="00C66A67" w:rsidRPr="00483AB2">
              <w:rPr>
                <w:rFonts w:ascii="Arial" w:hAnsi="Arial" w:cs="Arial"/>
                <w:b/>
                <w:color w:val="FFFFFF" w:themeColor="background1"/>
                <w:sz w:val="18"/>
                <w:szCs w:val="18"/>
              </w:rPr>
              <w:t xml:space="preserve"> </w:t>
            </w:r>
            <w:r w:rsidR="00C66A67">
              <w:rPr>
                <w:rFonts w:ascii="Arial" w:hAnsi="Arial" w:cs="Arial"/>
                <w:b/>
                <w:color w:val="FFFFFF" w:themeColor="background1"/>
                <w:sz w:val="18"/>
                <w:szCs w:val="18"/>
              </w:rPr>
              <w:t>(2014)</w:t>
            </w:r>
          </w:p>
        </w:tc>
      </w:tr>
      <w:tr w:rsidR="00C66A67" w:rsidRPr="00297EF9" w:rsidTr="003F520D">
        <w:trPr>
          <w:trHeight w:val="255"/>
        </w:trPr>
        <w:tc>
          <w:tcPr>
            <w:tcW w:w="2711" w:type="dxa"/>
            <w:shd w:val="clear" w:color="auto" w:fill="auto"/>
            <w:noWrap/>
            <w:vAlign w:val="center"/>
            <w:hideMark/>
          </w:tcPr>
          <w:p w:rsidR="00C66A67" w:rsidRPr="00483AB2" w:rsidRDefault="00C66A67" w:rsidP="003A0984">
            <w:pPr>
              <w:jc w:val="center"/>
              <w:rPr>
                <w:rFonts w:ascii="Arial" w:hAnsi="Arial" w:cs="Arial"/>
                <w:sz w:val="18"/>
                <w:szCs w:val="18"/>
              </w:rPr>
            </w:pPr>
          </w:p>
        </w:tc>
        <w:tc>
          <w:tcPr>
            <w:tcW w:w="992" w:type="dxa"/>
            <w:shd w:val="clear" w:color="auto" w:fill="auto"/>
            <w:noWrap/>
            <w:vAlign w:val="center"/>
            <w:hideMark/>
          </w:tcPr>
          <w:p w:rsidR="00C66A67" w:rsidRPr="00483AB2" w:rsidRDefault="00C66A67" w:rsidP="003A0984">
            <w:pPr>
              <w:jc w:val="right"/>
              <w:rPr>
                <w:rFonts w:ascii="Arial" w:hAnsi="Arial" w:cs="Arial"/>
                <w:b/>
                <w:sz w:val="18"/>
                <w:szCs w:val="18"/>
              </w:rPr>
            </w:pPr>
            <w:r>
              <w:rPr>
                <w:rFonts w:ascii="Arial" w:hAnsi="Arial" w:cs="Arial"/>
                <w:b/>
                <w:sz w:val="18"/>
                <w:szCs w:val="18"/>
              </w:rPr>
              <w:t>No.</w:t>
            </w:r>
          </w:p>
        </w:tc>
        <w:tc>
          <w:tcPr>
            <w:tcW w:w="1276" w:type="dxa"/>
            <w:vAlign w:val="center"/>
          </w:tcPr>
          <w:p w:rsidR="00C66A67" w:rsidRPr="00F94CEC" w:rsidRDefault="00C66A67" w:rsidP="003A0984">
            <w:pPr>
              <w:jc w:val="right"/>
              <w:rPr>
                <w:rFonts w:ascii="Arial" w:hAnsi="Arial" w:cs="Arial"/>
                <w:b/>
                <w:sz w:val="18"/>
                <w:szCs w:val="18"/>
              </w:rPr>
            </w:pPr>
            <w:r w:rsidRPr="00F94CEC">
              <w:rPr>
                <w:rFonts w:ascii="Arial" w:hAnsi="Arial" w:cs="Arial"/>
                <w:b/>
                <w:sz w:val="18"/>
                <w:szCs w:val="18"/>
              </w:rPr>
              <w:t xml:space="preserve">% of </w:t>
            </w:r>
            <w:r>
              <w:rPr>
                <w:rFonts w:ascii="Arial" w:hAnsi="Arial" w:cs="Arial"/>
                <w:b/>
                <w:sz w:val="18"/>
                <w:szCs w:val="18"/>
              </w:rPr>
              <w:t xml:space="preserve">Lancashire </w:t>
            </w:r>
            <w:r w:rsidRPr="00F94CEC">
              <w:rPr>
                <w:rFonts w:ascii="Arial" w:hAnsi="Arial" w:cs="Arial"/>
                <w:b/>
                <w:sz w:val="18"/>
                <w:szCs w:val="18"/>
              </w:rPr>
              <w:t>business base</w:t>
            </w:r>
          </w:p>
        </w:tc>
        <w:tc>
          <w:tcPr>
            <w:tcW w:w="1559" w:type="dxa"/>
            <w:shd w:val="clear" w:color="auto" w:fill="auto"/>
            <w:noWrap/>
            <w:vAlign w:val="center"/>
          </w:tcPr>
          <w:p w:rsidR="00C66A67" w:rsidRPr="00483AB2" w:rsidRDefault="00C66A67" w:rsidP="003A0984">
            <w:pPr>
              <w:jc w:val="right"/>
              <w:rPr>
                <w:rFonts w:ascii="Arial" w:hAnsi="Arial" w:cs="Arial"/>
                <w:b/>
                <w:sz w:val="18"/>
                <w:szCs w:val="18"/>
              </w:rPr>
            </w:pPr>
            <w:r>
              <w:rPr>
                <w:rFonts w:ascii="Arial" w:hAnsi="Arial" w:cs="Arial"/>
                <w:b/>
                <w:sz w:val="18"/>
                <w:szCs w:val="18"/>
              </w:rPr>
              <w:t>% of national excluding London business base</w:t>
            </w:r>
          </w:p>
        </w:tc>
      </w:tr>
      <w:tr w:rsidR="00C66A67" w:rsidRPr="00297EF9" w:rsidTr="003F520D">
        <w:trPr>
          <w:trHeight w:val="255"/>
        </w:trPr>
        <w:tc>
          <w:tcPr>
            <w:tcW w:w="2711" w:type="dxa"/>
            <w:shd w:val="clear" w:color="auto" w:fill="auto"/>
            <w:noWrap/>
            <w:vAlign w:val="bottom"/>
            <w:hideMark/>
          </w:tcPr>
          <w:p w:rsidR="00C66A67" w:rsidRPr="00483AB2" w:rsidRDefault="00C66A67" w:rsidP="003A0984">
            <w:pPr>
              <w:rPr>
                <w:rFonts w:ascii="Arial" w:hAnsi="Arial" w:cs="Arial"/>
                <w:sz w:val="18"/>
                <w:szCs w:val="18"/>
              </w:rPr>
            </w:pPr>
            <w:r>
              <w:rPr>
                <w:rFonts w:ascii="Arial" w:hAnsi="Arial" w:cs="Arial"/>
                <w:sz w:val="18"/>
                <w:szCs w:val="18"/>
              </w:rPr>
              <w:t>Food and drink services</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2,555</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67%</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65%</w:t>
            </w:r>
          </w:p>
        </w:tc>
      </w:tr>
      <w:tr w:rsidR="00C66A67" w:rsidRPr="00297EF9" w:rsidTr="003F520D">
        <w:trPr>
          <w:trHeight w:val="255"/>
        </w:trPr>
        <w:tc>
          <w:tcPr>
            <w:tcW w:w="2711" w:type="dxa"/>
            <w:shd w:val="clear" w:color="auto" w:fill="auto"/>
            <w:noWrap/>
            <w:vAlign w:val="bottom"/>
            <w:hideMark/>
          </w:tcPr>
          <w:p w:rsidR="00C66A67" w:rsidRPr="00483AB2" w:rsidRDefault="00C66A67" w:rsidP="003A0984">
            <w:pPr>
              <w:rPr>
                <w:rFonts w:ascii="Arial" w:hAnsi="Arial" w:cs="Arial"/>
                <w:sz w:val="18"/>
                <w:szCs w:val="18"/>
              </w:rPr>
            </w:pPr>
            <w:r>
              <w:rPr>
                <w:rFonts w:ascii="Arial" w:hAnsi="Arial" w:cs="Arial"/>
                <w:sz w:val="18"/>
                <w:szCs w:val="18"/>
              </w:rPr>
              <w:t>Accommodation</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435</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11%</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8%</w:t>
            </w:r>
          </w:p>
        </w:tc>
      </w:tr>
      <w:tr w:rsidR="00C66A67" w:rsidRPr="00297EF9" w:rsidTr="003F520D">
        <w:trPr>
          <w:trHeight w:val="255"/>
        </w:trPr>
        <w:tc>
          <w:tcPr>
            <w:tcW w:w="2711" w:type="dxa"/>
            <w:shd w:val="clear" w:color="auto" w:fill="auto"/>
            <w:noWrap/>
            <w:vAlign w:val="bottom"/>
            <w:hideMark/>
          </w:tcPr>
          <w:p w:rsidR="00C66A67" w:rsidRPr="00483AB2" w:rsidRDefault="00C66A67" w:rsidP="003A0984">
            <w:pPr>
              <w:rPr>
                <w:rFonts w:ascii="Arial" w:hAnsi="Arial" w:cs="Arial"/>
                <w:sz w:val="18"/>
                <w:szCs w:val="18"/>
              </w:rPr>
            </w:pPr>
            <w:r>
              <w:rPr>
                <w:rFonts w:ascii="Arial" w:hAnsi="Arial" w:cs="Arial"/>
                <w:sz w:val="18"/>
                <w:szCs w:val="18"/>
              </w:rPr>
              <w:t>Creative, arts and entertainment activities</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255</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7%</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11%</w:t>
            </w:r>
          </w:p>
        </w:tc>
      </w:tr>
      <w:tr w:rsidR="00C66A67" w:rsidRPr="00297EF9" w:rsidTr="003F520D">
        <w:trPr>
          <w:trHeight w:val="255"/>
        </w:trPr>
        <w:tc>
          <w:tcPr>
            <w:tcW w:w="2711" w:type="dxa"/>
            <w:shd w:val="clear" w:color="auto" w:fill="auto"/>
            <w:noWrap/>
            <w:vAlign w:val="bottom"/>
            <w:hideMark/>
          </w:tcPr>
          <w:p w:rsidR="00C66A67" w:rsidRPr="00483AB2" w:rsidRDefault="00C66A67" w:rsidP="003A0984">
            <w:pPr>
              <w:rPr>
                <w:rFonts w:ascii="Arial" w:hAnsi="Arial" w:cs="Arial"/>
                <w:sz w:val="18"/>
                <w:szCs w:val="18"/>
              </w:rPr>
            </w:pPr>
            <w:r>
              <w:rPr>
                <w:rFonts w:ascii="Arial" w:hAnsi="Arial" w:cs="Arial"/>
                <w:sz w:val="18"/>
                <w:szCs w:val="18"/>
              </w:rPr>
              <w:t>Sports and recreation</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210</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5%</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5%</w:t>
            </w:r>
          </w:p>
        </w:tc>
      </w:tr>
      <w:tr w:rsidR="00C66A67" w:rsidRPr="00297EF9" w:rsidTr="003F520D">
        <w:trPr>
          <w:trHeight w:val="255"/>
        </w:trPr>
        <w:tc>
          <w:tcPr>
            <w:tcW w:w="2711" w:type="dxa"/>
            <w:shd w:val="clear" w:color="auto" w:fill="auto"/>
            <w:noWrap/>
            <w:vAlign w:val="bottom"/>
            <w:hideMark/>
          </w:tcPr>
          <w:p w:rsidR="00C66A67" w:rsidRDefault="00C66A67" w:rsidP="003A0984">
            <w:pPr>
              <w:rPr>
                <w:rFonts w:ascii="Arial" w:hAnsi="Arial" w:cs="Arial"/>
                <w:sz w:val="18"/>
                <w:szCs w:val="18"/>
              </w:rPr>
            </w:pPr>
            <w:r>
              <w:rPr>
                <w:rFonts w:ascii="Arial" w:hAnsi="Arial" w:cs="Arial"/>
                <w:sz w:val="18"/>
                <w:szCs w:val="18"/>
              </w:rPr>
              <w:t>Land transport</w:t>
            </w:r>
          </w:p>
        </w:tc>
        <w:tc>
          <w:tcPr>
            <w:tcW w:w="992" w:type="dxa"/>
            <w:shd w:val="clear" w:color="auto" w:fill="auto"/>
            <w:noWrap/>
            <w:vAlign w:val="bottom"/>
            <w:hideMark/>
          </w:tcPr>
          <w:p w:rsidR="00C66A67" w:rsidRDefault="00C66A67" w:rsidP="003A0984">
            <w:pPr>
              <w:jc w:val="right"/>
              <w:rPr>
                <w:rFonts w:ascii="Arial" w:hAnsi="Arial" w:cs="Arial"/>
                <w:sz w:val="18"/>
                <w:szCs w:val="18"/>
              </w:rPr>
            </w:pPr>
            <w:r>
              <w:rPr>
                <w:rFonts w:ascii="Arial" w:hAnsi="Arial" w:cs="Arial"/>
                <w:sz w:val="18"/>
                <w:szCs w:val="18"/>
              </w:rPr>
              <w:t>145</w:t>
            </w:r>
          </w:p>
        </w:tc>
        <w:tc>
          <w:tcPr>
            <w:tcW w:w="1276" w:type="dxa"/>
            <w:vAlign w:val="bottom"/>
          </w:tcPr>
          <w:p w:rsidR="00C66A67" w:rsidRDefault="00C66A67" w:rsidP="003A0984">
            <w:pPr>
              <w:jc w:val="right"/>
              <w:rPr>
                <w:rFonts w:ascii="Arial" w:hAnsi="Arial" w:cs="Arial"/>
                <w:sz w:val="18"/>
                <w:szCs w:val="18"/>
              </w:rPr>
            </w:pPr>
            <w:r>
              <w:rPr>
                <w:rFonts w:ascii="Arial" w:hAnsi="Arial" w:cs="Arial"/>
                <w:sz w:val="18"/>
                <w:szCs w:val="18"/>
              </w:rPr>
              <w:t>4%</w:t>
            </w:r>
          </w:p>
        </w:tc>
        <w:tc>
          <w:tcPr>
            <w:tcW w:w="1559" w:type="dxa"/>
            <w:shd w:val="clear" w:color="auto" w:fill="auto"/>
            <w:noWrap/>
            <w:vAlign w:val="bottom"/>
          </w:tcPr>
          <w:p w:rsidR="00C66A67" w:rsidRDefault="00C66A67" w:rsidP="003A0984">
            <w:pPr>
              <w:jc w:val="right"/>
              <w:rPr>
                <w:rFonts w:ascii="Arial" w:hAnsi="Arial" w:cs="Arial"/>
                <w:sz w:val="18"/>
                <w:szCs w:val="18"/>
              </w:rPr>
            </w:pPr>
            <w:r>
              <w:rPr>
                <w:rFonts w:ascii="Arial" w:hAnsi="Arial" w:cs="Arial"/>
                <w:sz w:val="18"/>
                <w:szCs w:val="18"/>
              </w:rPr>
              <w:t>3%</w:t>
            </w:r>
          </w:p>
        </w:tc>
      </w:tr>
      <w:tr w:rsidR="00C66A67" w:rsidRPr="00297EF9" w:rsidTr="003F520D">
        <w:trPr>
          <w:trHeight w:val="255"/>
        </w:trPr>
        <w:tc>
          <w:tcPr>
            <w:tcW w:w="2711" w:type="dxa"/>
            <w:shd w:val="clear" w:color="auto" w:fill="auto"/>
            <w:noWrap/>
            <w:vAlign w:val="bottom"/>
            <w:hideMark/>
          </w:tcPr>
          <w:p w:rsidR="00C66A67" w:rsidRPr="00483AB2" w:rsidRDefault="00C66A67" w:rsidP="003A0984">
            <w:pPr>
              <w:rPr>
                <w:rFonts w:ascii="Arial" w:hAnsi="Arial" w:cs="Arial"/>
                <w:sz w:val="18"/>
                <w:szCs w:val="18"/>
              </w:rPr>
            </w:pPr>
            <w:r>
              <w:rPr>
                <w:rFonts w:ascii="Arial" w:hAnsi="Arial" w:cs="Arial"/>
                <w:sz w:val="18"/>
                <w:szCs w:val="18"/>
              </w:rPr>
              <w:t>Renting and leasing</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110</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3%</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2%</w:t>
            </w:r>
          </w:p>
        </w:tc>
      </w:tr>
      <w:tr w:rsidR="00C66A67" w:rsidRPr="00297EF9" w:rsidTr="003F520D">
        <w:trPr>
          <w:trHeight w:val="255"/>
        </w:trPr>
        <w:tc>
          <w:tcPr>
            <w:tcW w:w="2711" w:type="dxa"/>
            <w:shd w:val="clear" w:color="auto" w:fill="auto"/>
            <w:noWrap/>
            <w:vAlign w:val="bottom"/>
            <w:hideMark/>
          </w:tcPr>
          <w:p w:rsidR="00C66A67" w:rsidRDefault="00C66A67" w:rsidP="003A0984">
            <w:pPr>
              <w:rPr>
                <w:rFonts w:ascii="Arial" w:hAnsi="Arial" w:cs="Arial"/>
                <w:sz w:val="18"/>
                <w:szCs w:val="18"/>
              </w:rPr>
            </w:pPr>
            <w:r>
              <w:rPr>
                <w:rFonts w:ascii="Arial" w:hAnsi="Arial" w:cs="Arial"/>
                <w:sz w:val="18"/>
                <w:szCs w:val="18"/>
              </w:rPr>
              <w:t>Tour operator and reservation services</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40</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1%</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1%</w:t>
            </w:r>
          </w:p>
        </w:tc>
      </w:tr>
      <w:tr w:rsidR="00C66A67" w:rsidRPr="00297EF9" w:rsidTr="003F520D">
        <w:trPr>
          <w:trHeight w:val="255"/>
        </w:trPr>
        <w:tc>
          <w:tcPr>
            <w:tcW w:w="2711" w:type="dxa"/>
            <w:shd w:val="clear" w:color="auto" w:fill="auto"/>
            <w:noWrap/>
            <w:vAlign w:val="bottom"/>
            <w:hideMark/>
          </w:tcPr>
          <w:p w:rsidR="00C66A67" w:rsidRDefault="00C66A67" w:rsidP="003A0984">
            <w:pPr>
              <w:rPr>
                <w:rFonts w:ascii="Arial" w:hAnsi="Arial" w:cs="Arial"/>
                <w:sz w:val="18"/>
                <w:szCs w:val="18"/>
              </w:rPr>
            </w:pPr>
            <w:r>
              <w:rPr>
                <w:rFonts w:ascii="Arial" w:hAnsi="Arial" w:cs="Arial"/>
                <w:sz w:val="18"/>
                <w:szCs w:val="18"/>
              </w:rPr>
              <w:t>Conventions and trade shows</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25</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&lt;1%</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2%</w:t>
            </w:r>
          </w:p>
        </w:tc>
      </w:tr>
      <w:tr w:rsidR="00C66A67" w:rsidRPr="00297EF9" w:rsidTr="003F520D">
        <w:trPr>
          <w:trHeight w:val="255"/>
        </w:trPr>
        <w:tc>
          <w:tcPr>
            <w:tcW w:w="2711" w:type="dxa"/>
            <w:shd w:val="clear" w:color="auto" w:fill="auto"/>
            <w:noWrap/>
            <w:vAlign w:val="bottom"/>
            <w:hideMark/>
          </w:tcPr>
          <w:p w:rsidR="00C66A67" w:rsidRDefault="00C66A67" w:rsidP="003A0984">
            <w:pPr>
              <w:rPr>
                <w:rFonts w:ascii="Arial" w:hAnsi="Arial" w:cs="Arial"/>
                <w:sz w:val="18"/>
                <w:szCs w:val="18"/>
              </w:rPr>
            </w:pPr>
            <w:r>
              <w:rPr>
                <w:rFonts w:ascii="Arial" w:hAnsi="Arial" w:cs="Arial"/>
                <w:sz w:val="18"/>
                <w:szCs w:val="18"/>
              </w:rPr>
              <w:t>Cultural activities</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15</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&lt;1%</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&lt;1%</w:t>
            </w:r>
          </w:p>
        </w:tc>
      </w:tr>
      <w:tr w:rsidR="00C66A67" w:rsidRPr="00297EF9" w:rsidTr="003F520D">
        <w:trPr>
          <w:trHeight w:val="255"/>
        </w:trPr>
        <w:tc>
          <w:tcPr>
            <w:tcW w:w="2711" w:type="dxa"/>
            <w:shd w:val="clear" w:color="auto" w:fill="auto"/>
            <w:noWrap/>
            <w:vAlign w:val="bottom"/>
            <w:hideMark/>
          </w:tcPr>
          <w:p w:rsidR="00C66A67" w:rsidRDefault="00C66A67" w:rsidP="003A0984">
            <w:pPr>
              <w:rPr>
                <w:rFonts w:ascii="Arial" w:hAnsi="Arial" w:cs="Arial"/>
                <w:sz w:val="18"/>
                <w:szCs w:val="18"/>
              </w:rPr>
            </w:pPr>
            <w:r>
              <w:rPr>
                <w:rFonts w:ascii="Arial" w:hAnsi="Arial" w:cs="Arial"/>
                <w:sz w:val="18"/>
                <w:szCs w:val="18"/>
              </w:rPr>
              <w:t>Water transport</w:t>
            </w:r>
          </w:p>
        </w:tc>
        <w:tc>
          <w:tcPr>
            <w:tcW w:w="992" w:type="dxa"/>
            <w:shd w:val="clear" w:color="auto" w:fill="auto"/>
            <w:noWrap/>
            <w:vAlign w:val="bottom"/>
            <w:hideMark/>
          </w:tcPr>
          <w:p w:rsidR="00C66A67" w:rsidRPr="00483AB2" w:rsidRDefault="00C66A67" w:rsidP="003A0984">
            <w:pPr>
              <w:jc w:val="right"/>
              <w:rPr>
                <w:rFonts w:ascii="Arial" w:hAnsi="Arial" w:cs="Arial"/>
                <w:sz w:val="18"/>
                <w:szCs w:val="18"/>
              </w:rPr>
            </w:pPr>
            <w:r>
              <w:rPr>
                <w:rFonts w:ascii="Arial" w:hAnsi="Arial" w:cs="Arial"/>
                <w:sz w:val="18"/>
                <w:szCs w:val="18"/>
              </w:rPr>
              <w:t>0</w:t>
            </w:r>
          </w:p>
        </w:tc>
        <w:tc>
          <w:tcPr>
            <w:tcW w:w="1276" w:type="dxa"/>
            <w:vAlign w:val="bottom"/>
          </w:tcPr>
          <w:p w:rsidR="00C66A67" w:rsidRPr="00F94CEC" w:rsidRDefault="00C66A67" w:rsidP="003A0984">
            <w:pPr>
              <w:jc w:val="right"/>
              <w:rPr>
                <w:rFonts w:ascii="Arial" w:hAnsi="Arial" w:cs="Arial"/>
                <w:sz w:val="18"/>
                <w:szCs w:val="18"/>
              </w:rPr>
            </w:pPr>
            <w:r>
              <w:rPr>
                <w:rFonts w:ascii="Arial" w:hAnsi="Arial" w:cs="Arial"/>
                <w:sz w:val="18"/>
                <w:szCs w:val="18"/>
              </w:rPr>
              <w:t>0%</w:t>
            </w:r>
          </w:p>
        </w:tc>
        <w:tc>
          <w:tcPr>
            <w:tcW w:w="1559" w:type="dxa"/>
            <w:shd w:val="clear" w:color="auto" w:fill="auto"/>
            <w:noWrap/>
            <w:vAlign w:val="bottom"/>
          </w:tcPr>
          <w:p w:rsidR="00C66A67" w:rsidRPr="00483AB2" w:rsidRDefault="00C66A67" w:rsidP="003A0984">
            <w:pPr>
              <w:jc w:val="right"/>
              <w:rPr>
                <w:rFonts w:ascii="Arial" w:hAnsi="Arial" w:cs="Arial"/>
                <w:sz w:val="18"/>
                <w:szCs w:val="18"/>
              </w:rPr>
            </w:pPr>
            <w:r>
              <w:rPr>
                <w:rFonts w:ascii="Arial" w:hAnsi="Arial" w:cs="Arial"/>
                <w:sz w:val="18"/>
                <w:szCs w:val="18"/>
              </w:rPr>
              <w:t>&lt;1%</w:t>
            </w:r>
          </w:p>
        </w:tc>
      </w:tr>
      <w:tr w:rsidR="00C66A67" w:rsidRPr="00297EF9" w:rsidTr="003F520D">
        <w:trPr>
          <w:trHeight w:val="255"/>
        </w:trPr>
        <w:tc>
          <w:tcPr>
            <w:tcW w:w="2711" w:type="dxa"/>
            <w:shd w:val="clear" w:color="auto" w:fill="auto"/>
            <w:noWrap/>
            <w:vAlign w:val="bottom"/>
            <w:hideMark/>
          </w:tcPr>
          <w:p w:rsidR="00C66A67" w:rsidRPr="00351BBF" w:rsidRDefault="00C66A67" w:rsidP="003A0984">
            <w:pPr>
              <w:rPr>
                <w:rFonts w:ascii="Arial" w:hAnsi="Arial" w:cs="Arial"/>
                <w:b/>
                <w:sz w:val="18"/>
                <w:szCs w:val="18"/>
              </w:rPr>
            </w:pPr>
            <w:r w:rsidRPr="00351BBF">
              <w:rPr>
                <w:rFonts w:ascii="Arial" w:hAnsi="Arial" w:cs="Arial"/>
                <w:b/>
                <w:sz w:val="18"/>
                <w:szCs w:val="18"/>
              </w:rPr>
              <w:t>Total</w:t>
            </w:r>
          </w:p>
        </w:tc>
        <w:tc>
          <w:tcPr>
            <w:tcW w:w="992" w:type="dxa"/>
            <w:shd w:val="clear" w:color="auto" w:fill="auto"/>
            <w:noWrap/>
            <w:vAlign w:val="bottom"/>
            <w:hideMark/>
          </w:tcPr>
          <w:p w:rsidR="00C66A67" w:rsidRPr="00351BBF" w:rsidRDefault="00C66A67" w:rsidP="003A0984">
            <w:pPr>
              <w:jc w:val="right"/>
              <w:rPr>
                <w:rFonts w:ascii="Arial" w:hAnsi="Arial" w:cs="Arial"/>
                <w:b/>
                <w:sz w:val="18"/>
                <w:szCs w:val="18"/>
              </w:rPr>
            </w:pPr>
            <w:r w:rsidRPr="00351BBF">
              <w:rPr>
                <w:rFonts w:ascii="Arial" w:hAnsi="Arial" w:cs="Arial"/>
                <w:b/>
                <w:sz w:val="18"/>
                <w:szCs w:val="18"/>
              </w:rPr>
              <w:t>3,79</w:t>
            </w:r>
            <w:r>
              <w:rPr>
                <w:rFonts w:ascii="Arial" w:hAnsi="Arial" w:cs="Arial"/>
                <w:b/>
                <w:sz w:val="18"/>
                <w:szCs w:val="18"/>
              </w:rPr>
              <w:t>0</w:t>
            </w:r>
          </w:p>
        </w:tc>
        <w:tc>
          <w:tcPr>
            <w:tcW w:w="1276" w:type="dxa"/>
            <w:vAlign w:val="bottom"/>
          </w:tcPr>
          <w:p w:rsidR="00C66A67" w:rsidRPr="00F94CEC" w:rsidRDefault="00C66A67" w:rsidP="003A0984">
            <w:pPr>
              <w:jc w:val="right"/>
              <w:rPr>
                <w:rFonts w:ascii="Arial" w:hAnsi="Arial" w:cs="Arial"/>
                <w:b/>
                <w:sz w:val="18"/>
                <w:szCs w:val="18"/>
              </w:rPr>
            </w:pPr>
            <w:r>
              <w:rPr>
                <w:rFonts w:ascii="Arial" w:hAnsi="Arial" w:cs="Arial"/>
                <w:b/>
                <w:sz w:val="18"/>
                <w:szCs w:val="18"/>
              </w:rPr>
              <w:t>100</w:t>
            </w:r>
            <w:r w:rsidRPr="00F94CEC">
              <w:rPr>
                <w:rFonts w:ascii="Arial" w:hAnsi="Arial" w:cs="Arial"/>
                <w:b/>
                <w:sz w:val="18"/>
                <w:szCs w:val="18"/>
              </w:rPr>
              <w:t>%</w:t>
            </w:r>
          </w:p>
        </w:tc>
        <w:tc>
          <w:tcPr>
            <w:tcW w:w="1559" w:type="dxa"/>
            <w:shd w:val="clear" w:color="auto" w:fill="auto"/>
            <w:noWrap/>
            <w:vAlign w:val="bottom"/>
          </w:tcPr>
          <w:p w:rsidR="00C66A67" w:rsidRPr="00351BBF" w:rsidRDefault="00C66A67" w:rsidP="003A0984">
            <w:pPr>
              <w:jc w:val="right"/>
              <w:rPr>
                <w:rFonts w:ascii="Arial" w:hAnsi="Arial" w:cs="Arial"/>
                <w:b/>
                <w:sz w:val="18"/>
                <w:szCs w:val="18"/>
              </w:rPr>
            </w:pPr>
            <w:r w:rsidRPr="00351BBF">
              <w:rPr>
                <w:rFonts w:ascii="Arial" w:hAnsi="Arial" w:cs="Arial"/>
                <w:b/>
                <w:sz w:val="18"/>
                <w:szCs w:val="18"/>
              </w:rPr>
              <w:t>100%</w:t>
            </w:r>
          </w:p>
        </w:tc>
      </w:tr>
      <w:tr w:rsidR="00C66A67" w:rsidRPr="00297EF9" w:rsidTr="003F520D">
        <w:trPr>
          <w:trHeight w:val="255"/>
        </w:trPr>
        <w:tc>
          <w:tcPr>
            <w:tcW w:w="6538" w:type="dxa"/>
            <w:gridSpan w:val="4"/>
          </w:tcPr>
          <w:p w:rsidR="00C66A67" w:rsidRPr="00483AB2" w:rsidRDefault="00C66A67" w:rsidP="003A0984">
            <w:pPr>
              <w:rPr>
                <w:rFonts w:ascii="Arial" w:hAnsi="Arial" w:cs="Arial"/>
                <w:sz w:val="18"/>
                <w:szCs w:val="18"/>
              </w:rPr>
            </w:pPr>
            <w:r w:rsidRPr="00483AB2">
              <w:rPr>
                <w:rFonts w:ascii="Arial" w:hAnsi="Arial" w:cs="Arial"/>
                <w:bCs/>
                <w:iCs/>
                <w:sz w:val="18"/>
                <w:szCs w:val="18"/>
              </w:rPr>
              <w:t xml:space="preserve">Source: UK Business Count.  Note data from this source is subject to rounding and </w:t>
            </w:r>
            <w:r>
              <w:rPr>
                <w:rFonts w:ascii="Arial" w:hAnsi="Arial" w:cs="Arial"/>
                <w:bCs/>
                <w:iCs/>
                <w:sz w:val="18"/>
                <w:szCs w:val="18"/>
              </w:rPr>
              <w:t>sub-sectors</w:t>
            </w:r>
            <w:r w:rsidRPr="00483AB2">
              <w:rPr>
                <w:rFonts w:ascii="Arial" w:hAnsi="Arial" w:cs="Arial"/>
                <w:bCs/>
                <w:iCs/>
                <w:sz w:val="18"/>
                <w:szCs w:val="18"/>
              </w:rPr>
              <w:t xml:space="preserve"> </w:t>
            </w:r>
            <w:r>
              <w:rPr>
                <w:rFonts w:ascii="Arial" w:hAnsi="Arial" w:cs="Arial"/>
                <w:bCs/>
                <w:iCs/>
                <w:sz w:val="18"/>
                <w:szCs w:val="18"/>
              </w:rPr>
              <w:t xml:space="preserve">therefore </w:t>
            </w:r>
            <w:r w:rsidRPr="00483AB2">
              <w:rPr>
                <w:rFonts w:ascii="Arial" w:hAnsi="Arial" w:cs="Arial"/>
                <w:bCs/>
                <w:iCs/>
                <w:sz w:val="18"/>
                <w:szCs w:val="18"/>
              </w:rPr>
              <w:t>do not sum to the LEP total</w:t>
            </w:r>
            <w:r>
              <w:rPr>
                <w:rFonts w:ascii="Arial" w:hAnsi="Arial" w:cs="Arial"/>
                <w:bCs/>
                <w:iCs/>
                <w:sz w:val="18"/>
                <w:szCs w:val="18"/>
              </w:rPr>
              <w:t>.</w:t>
            </w:r>
          </w:p>
        </w:tc>
      </w:tr>
    </w:tbl>
    <w:p w:rsidR="009232EA" w:rsidRPr="009232EA" w:rsidRDefault="009232EA" w:rsidP="009232EA">
      <w:pPr>
        <w:spacing w:before="120" w:after="120" w:line="264" w:lineRule="auto"/>
        <w:jc w:val="both"/>
        <w:rPr>
          <w:rFonts w:ascii="Arial" w:hAnsi="Arial" w:cs="Arial"/>
          <w:b/>
          <w:i/>
          <w:color w:val="6C2768"/>
          <w:sz w:val="4"/>
          <w:szCs w:val="4"/>
          <w:lang w:eastAsia="en-GB"/>
        </w:rPr>
      </w:pP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Business Size</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sidRPr="009C29E6">
        <w:rPr>
          <w:sz w:val="18"/>
          <w:szCs w:val="18"/>
        </w:rPr>
        <w:t>Lancashire’s visitor economy is characterised by micro and small businesses</w:t>
      </w:r>
      <w:r w:rsidRPr="009C29E6">
        <w:rPr>
          <w:sz w:val="18"/>
          <w:szCs w:val="18"/>
          <w:vertAlign w:val="superscript"/>
        </w:rPr>
        <w:footnoteReference w:id="25"/>
      </w:r>
      <w:r w:rsidRPr="009C29E6">
        <w:rPr>
          <w:sz w:val="18"/>
          <w:szCs w:val="18"/>
        </w:rPr>
        <w:t xml:space="preserve">, as is Lancashire as a whole.  Fewer than 100 visitor economy businesses employ more than 50 people, and fewer than 20 employ more than 250.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sz w:val="18"/>
          <w:szCs w:val="18"/>
        </w:rPr>
        <w:t>This</w:t>
      </w:r>
      <w:r w:rsidRPr="00687A29">
        <w:rPr>
          <w:sz w:val="18"/>
          <w:szCs w:val="18"/>
        </w:rPr>
        <w:t xml:space="preserve"> business size profile is not uncommon</w:t>
      </w:r>
      <w:r>
        <w:rPr>
          <w:sz w:val="18"/>
          <w:szCs w:val="18"/>
        </w:rPr>
        <w:t xml:space="preserve"> (in Lancashire’s information and communication sector, for example, 95% of employers have fewer than 10 staff).  The juxtaposition in the visitor economy is nonetheless of note, especially in Blackpool, where large, international businesses such as Merlin Entertainments </w:t>
      </w:r>
      <w:r>
        <w:rPr>
          <w:sz w:val="18"/>
          <w:szCs w:val="18"/>
        </w:rPr>
        <w:lastRenderedPageBreak/>
        <w:t xml:space="preserve">and Cuerden Leisure operate alongside, and indeed rely upon, a plethora of small, independent accommodation and food businesses that for generations have been </w:t>
      </w:r>
      <w:r w:rsidR="009232EA">
        <w:rPr>
          <w:sz w:val="18"/>
          <w:szCs w:val="18"/>
        </w:rPr>
        <w:t>at the heart</w:t>
      </w:r>
      <w:r>
        <w:rPr>
          <w:sz w:val="18"/>
          <w:szCs w:val="18"/>
        </w:rPr>
        <w:t xml:space="preserve"> of the traditional visitor economy.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03"/>
        <w:gridCol w:w="1462"/>
        <w:gridCol w:w="1464"/>
        <w:gridCol w:w="1796"/>
      </w:tblGrid>
      <w:tr w:rsidR="00C66A67" w:rsidRPr="0043414A" w:rsidTr="003F520D">
        <w:trPr>
          <w:cantSplit/>
          <w:trHeight w:val="329"/>
        </w:trPr>
        <w:tc>
          <w:tcPr>
            <w:tcW w:w="6725" w:type="dxa"/>
            <w:gridSpan w:val="4"/>
            <w:shd w:val="clear" w:color="auto" w:fill="660066"/>
            <w:vAlign w:val="center"/>
          </w:tcPr>
          <w:p w:rsidR="00C66A67" w:rsidRPr="00483AB2" w:rsidRDefault="00C66A67" w:rsidP="003A0984">
            <w:pPr>
              <w:rPr>
                <w:rFonts w:ascii="Arial" w:hAnsi="Arial" w:cs="Arial"/>
                <w:b/>
                <w:bCs/>
                <w:iCs/>
                <w:sz w:val="18"/>
                <w:szCs w:val="18"/>
              </w:rPr>
            </w:pPr>
            <w:r w:rsidRPr="00483AB2">
              <w:rPr>
                <w:rFonts w:ascii="Arial" w:hAnsi="Arial" w:cs="Arial"/>
                <w:b/>
                <w:bCs/>
                <w:iCs/>
                <w:sz w:val="18"/>
                <w:szCs w:val="18"/>
              </w:rPr>
              <w:t xml:space="preserve">Lancashire Business Base by Size Band </w:t>
            </w:r>
            <w:r>
              <w:rPr>
                <w:rFonts w:ascii="Arial" w:hAnsi="Arial" w:cs="Arial"/>
                <w:b/>
                <w:bCs/>
                <w:iCs/>
                <w:sz w:val="18"/>
                <w:szCs w:val="18"/>
              </w:rPr>
              <w:t>(</w:t>
            </w:r>
            <w:r w:rsidRPr="00483AB2">
              <w:rPr>
                <w:rFonts w:ascii="Arial" w:hAnsi="Arial" w:cs="Arial"/>
                <w:b/>
                <w:bCs/>
                <w:iCs/>
                <w:sz w:val="18"/>
                <w:szCs w:val="18"/>
              </w:rPr>
              <w:t>2014</w:t>
            </w:r>
            <w:r>
              <w:rPr>
                <w:rFonts w:ascii="Arial" w:hAnsi="Arial" w:cs="Arial"/>
                <w:b/>
                <w:bCs/>
                <w:iCs/>
                <w:sz w:val="18"/>
                <w:szCs w:val="18"/>
              </w:rPr>
              <w:t>)</w:t>
            </w:r>
            <w:r w:rsidRPr="00483AB2">
              <w:rPr>
                <w:rFonts w:ascii="Arial" w:hAnsi="Arial" w:cs="Arial"/>
                <w:b/>
                <w:bCs/>
                <w:iCs/>
                <w:sz w:val="18"/>
                <w:szCs w:val="18"/>
              </w:rPr>
              <w:t xml:space="preserve"> </w:t>
            </w:r>
          </w:p>
        </w:tc>
      </w:tr>
      <w:tr w:rsidR="00C66A67" w:rsidRPr="0043414A" w:rsidTr="003F520D">
        <w:trPr>
          <w:cantSplit/>
        </w:trPr>
        <w:tc>
          <w:tcPr>
            <w:tcW w:w="2003" w:type="dxa"/>
            <w:vAlign w:val="center"/>
          </w:tcPr>
          <w:p w:rsidR="00C66A67" w:rsidRPr="00483AB2" w:rsidRDefault="00C66A67" w:rsidP="003A0984">
            <w:pPr>
              <w:jc w:val="center"/>
              <w:rPr>
                <w:rFonts w:ascii="Arial" w:hAnsi="Arial" w:cs="Arial"/>
                <w:bCs/>
                <w:iCs/>
                <w:sz w:val="18"/>
                <w:szCs w:val="18"/>
              </w:rPr>
            </w:pPr>
          </w:p>
        </w:tc>
        <w:tc>
          <w:tcPr>
            <w:tcW w:w="2926" w:type="dxa"/>
            <w:gridSpan w:val="2"/>
            <w:vAlign w:val="center"/>
          </w:tcPr>
          <w:p w:rsidR="00C66A67" w:rsidRPr="00483AB2" w:rsidRDefault="00C66A67" w:rsidP="003A0984">
            <w:pPr>
              <w:jc w:val="center"/>
              <w:rPr>
                <w:rFonts w:ascii="Arial" w:hAnsi="Arial" w:cs="Arial"/>
                <w:b/>
                <w:bCs/>
                <w:iCs/>
                <w:sz w:val="18"/>
                <w:szCs w:val="18"/>
              </w:rPr>
            </w:pPr>
            <w:r w:rsidRPr="00483AB2">
              <w:rPr>
                <w:rFonts w:ascii="Arial" w:hAnsi="Arial" w:cs="Arial"/>
                <w:b/>
                <w:bCs/>
                <w:iCs/>
                <w:sz w:val="18"/>
                <w:szCs w:val="18"/>
              </w:rPr>
              <w:t>Visitor Economy</w:t>
            </w:r>
          </w:p>
        </w:tc>
        <w:tc>
          <w:tcPr>
            <w:tcW w:w="1796" w:type="dxa"/>
          </w:tcPr>
          <w:p w:rsidR="00C66A67" w:rsidRPr="00483AB2" w:rsidRDefault="00C66A67" w:rsidP="003A0984">
            <w:pPr>
              <w:jc w:val="right"/>
              <w:rPr>
                <w:rFonts w:ascii="Arial" w:hAnsi="Arial" w:cs="Arial"/>
                <w:b/>
                <w:bCs/>
                <w:iCs/>
                <w:sz w:val="18"/>
                <w:szCs w:val="18"/>
              </w:rPr>
            </w:pPr>
            <w:r w:rsidRPr="00483AB2">
              <w:rPr>
                <w:rFonts w:ascii="Arial" w:hAnsi="Arial" w:cs="Arial"/>
                <w:b/>
                <w:bCs/>
                <w:iCs/>
                <w:sz w:val="18"/>
                <w:szCs w:val="18"/>
              </w:rPr>
              <w:t>Lancashire Total</w:t>
            </w:r>
          </w:p>
        </w:tc>
      </w:tr>
      <w:tr w:rsidR="00C66A67" w:rsidRPr="0043414A" w:rsidTr="003F520D">
        <w:trPr>
          <w:cantSplit/>
        </w:trPr>
        <w:tc>
          <w:tcPr>
            <w:tcW w:w="2003" w:type="dxa"/>
            <w:vAlign w:val="center"/>
          </w:tcPr>
          <w:p w:rsidR="00C66A67" w:rsidRPr="00483AB2" w:rsidRDefault="00C66A67" w:rsidP="003A0984">
            <w:pPr>
              <w:jc w:val="center"/>
              <w:rPr>
                <w:rFonts w:ascii="Arial" w:hAnsi="Arial" w:cs="Arial"/>
                <w:bCs/>
                <w:iCs/>
                <w:sz w:val="18"/>
                <w:szCs w:val="18"/>
              </w:rPr>
            </w:pPr>
          </w:p>
        </w:tc>
        <w:tc>
          <w:tcPr>
            <w:tcW w:w="1462" w:type="dxa"/>
            <w:vAlign w:val="center"/>
          </w:tcPr>
          <w:p w:rsidR="00C66A67" w:rsidRPr="00483AB2" w:rsidRDefault="00C66A67" w:rsidP="003A0984">
            <w:pPr>
              <w:jc w:val="right"/>
              <w:rPr>
                <w:rFonts w:ascii="Arial" w:hAnsi="Arial" w:cs="Arial"/>
                <w:b/>
                <w:bCs/>
                <w:iCs/>
                <w:sz w:val="18"/>
                <w:szCs w:val="18"/>
              </w:rPr>
            </w:pPr>
            <w:r w:rsidRPr="00483AB2">
              <w:rPr>
                <w:rFonts w:ascii="Arial" w:hAnsi="Arial" w:cs="Arial"/>
                <w:b/>
                <w:bCs/>
                <w:iCs/>
                <w:sz w:val="18"/>
                <w:szCs w:val="18"/>
              </w:rPr>
              <w:t>No.</w:t>
            </w:r>
          </w:p>
        </w:tc>
        <w:tc>
          <w:tcPr>
            <w:tcW w:w="1464" w:type="dxa"/>
            <w:vAlign w:val="center"/>
          </w:tcPr>
          <w:p w:rsidR="00C66A67" w:rsidRPr="00483AB2" w:rsidRDefault="00C66A67" w:rsidP="003A0984">
            <w:pPr>
              <w:jc w:val="right"/>
              <w:rPr>
                <w:rFonts w:ascii="Arial" w:hAnsi="Arial" w:cs="Arial"/>
                <w:b/>
                <w:bCs/>
                <w:iCs/>
                <w:sz w:val="18"/>
                <w:szCs w:val="18"/>
              </w:rPr>
            </w:pPr>
            <w:r w:rsidRPr="00483AB2">
              <w:rPr>
                <w:rFonts w:ascii="Arial" w:hAnsi="Arial" w:cs="Arial"/>
                <w:b/>
                <w:bCs/>
                <w:iCs/>
                <w:sz w:val="18"/>
                <w:szCs w:val="18"/>
              </w:rPr>
              <w:t>%</w:t>
            </w:r>
          </w:p>
        </w:tc>
        <w:tc>
          <w:tcPr>
            <w:tcW w:w="1796" w:type="dxa"/>
          </w:tcPr>
          <w:p w:rsidR="00C66A67" w:rsidRPr="00483AB2" w:rsidRDefault="00C66A67" w:rsidP="003A0984">
            <w:pPr>
              <w:jc w:val="right"/>
              <w:rPr>
                <w:rFonts w:ascii="Arial" w:hAnsi="Arial" w:cs="Arial"/>
                <w:b/>
                <w:bCs/>
                <w:iCs/>
                <w:sz w:val="18"/>
                <w:szCs w:val="18"/>
              </w:rPr>
            </w:pPr>
            <w:r w:rsidRPr="00483AB2">
              <w:rPr>
                <w:rFonts w:ascii="Arial" w:hAnsi="Arial" w:cs="Arial"/>
                <w:b/>
                <w:bCs/>
                <w:iCs/>
                <w:sz w:val="18"/>
                <w:szCs w:val="18"/>
              </w:rPr>
              <w:t>%</w:t>
            </w:r>
          </w:p>
        </w:tc>
      </w:tr>
      <w:tr w:rsidR="00C66A67" w:rsidRPr="0043414A" w:rsidTr="003F520D">
        <w:trPr>
          <w:cantSplit/>
        </w:trPr>
        <w:tc>
          <w:tcPr>
            <w:tcW w:w="2003" w:type="dxa"/>
            <w:vAlign w:val="center"/>
          </w:tcPr>
          <w:p w:rsidR="00C66A67" w:rsidRPr="00483AB2" w:rsidRDefault="00C66A67" w:rsidP="003A0984">
            <w:pPr>
              <w:rPr>
                <w:rFonts w:ascii="Arial" w:hAnsi="Arial" w:cs="Arial"/>
                <w:bCs/>
                <w:iCs/>
                <w:sz w:val="18"/>
                <w:szCs w:val="18"/>
              </w:rPr>
            </w:pPr>
            <w:bookmarkStart w:id="28" w:name="_Toc380653160"/>
            <w:bookmarkStart w:id="29" w:name="_Toc380761174"/>
            <w:bookmarkStart w:id="30" w:name="_Toc384294281"/>
            <w:bookmarkStart w:id="31" w:name="_Toc384294656"/>
            <w:r w:rsidRPr="00483AB2">
              <w:rPr>
                <w:rFonts w:ascii="Arial" w:hAnsi="Arial" w:cs="Arial"/>
                <w:bCs/>
                <w:iCs/>
                <w:sz w:val="18"/>
                <w:szCs w:val="18"/>
              </w:rPr>
              <w:t>0-9</w:t>
            </w:r>
            <w:bookmarkEnd w:id="28"/>
            <w:bookmarkEnd w:id="29"/>
            <w:bookmarkEnd w:id="30"/>
            <w:bookmarkEnd w:id="31"/>
          </w:p>
        </w:tc>
        <w:tc>
          <w:tcPr>
            <w:tcW w:w="1462"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2,965</w:t>
            </w:r>
          </w:p>
        </w:tc>
        <w:tc>
          <w:tcPr>
            <w:tcW w:w="1464"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78%</w:t>
            </w:r>
          </w:p>
        </w:tc>
        <w:tc>
          <w:tcPr>
            <w:tcW w:w="1796"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87%</w:t>
            </w:r>
          </w:p>
        </w:tc>
      </w:tr>
      <w:tr w:rsidR="00C66A67" w:rsidRPr="0043414A" w:rsidTr="003F520D">
        <w:trPr>
          <w:cantSplit/>
        </w:trPr>
        <w:tc>
          <w:tcPr>
            <w:tcW w:w="2003" w:type="dxa"/>
            <w:vAlign w:val="center"/>
          </w:tcPr>
          <w:p w:rsidR="00C66A67" w:rsidRPr="00483AB2" w:rsidRDefault="00C66A67" w:rsidP="003A0984">
            <w:pPr>
              <w:rPr>
                <w:rFonts w:ascii="Arial" w:hAnsi="Arial" w:cs="Arial"/>
                <w:bCs/>
                <w:iCs/>
                <w:sz w:val="18"/>
                <w:szCs w:val="18"/>
              </w:rPr>
            </w:pPr>
            <w:bookmarkStart w:id="32" w:name="_Toc380653165"/>
            <w:bookmarkStart w:id="33" w:name="_Toc380761179"/>
            <w:bookmarkStart w:id="34" w:name="_Toc384294286"/>
            <w:bookmarkStart w:id="35" w:name="_Toc384294661"/>
            <w:r w:rsidRPr="00483AB2">
              <w:rPr>
                <w:rFonts w:ascii="Arial" w:hAnsi="Arial" w:cs="Arial"/>
                <w:bCs/>
                <w:iCs/>
                <w:sz w:val="18"/>
                <w:szCs w:val="18"/>
              </w:rPr>
              <w:t>10-49</w:t>
            </w:r>
            <w:bookmarkEnd w:id="32"/>
            <w:bookmarkEnd w:id="33"/>
            <w:bookmarkEnd w:id="34"/>
            <w:bookmarkEnd w:id="35"/>
          </w:p>
        </w:tc>
        <w:tc>
          <w:tcPr>
            <w:tcW w:w="1462"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745</w:t>
            </w:r>
          </w:p>
        </w:tc>
        <w:tc>
          <w:tcPr>
            <w:tcW w:w="1464"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20%</w:t>
            </w:r>
          </w:p>
        </w:tc>
        <w:tc>
          <w:tcPr>
            <w:tcW w:w="1796"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11%</w:t>
            </w:r>
          </w:p>
        </w:tc>
      </w:tr>
      <w:tr w:rsidR="00C66A67" w:rsidRPr="0043414A" w:rsidTr="003F520D">
        <w:trPr>
          <w:cantSplit/>
        </w:trPr>
        <w:tc>
          <w:tcPr>
            <w:tcW w:w="2003" w:type="dxa"/>
            <w:vAlign w:val="center"/>
          </w:tcPr>
          <w:p w:rsidR="00C66A67" w:rsidRPr="00483AB2" w:rsidRDefault="00C66A67" w:rsidP="003A0984">
            <w:pPr>
              <w:rPr>
                <w:rFonts w:ascii="Arial" w:hAnsi="Arial" w:cs="Arial"/>
                <w:bCs/>
                <w:iCs/>
                <w:sz w:val="18"/>
                <w:szCs w:val="18"/>
              </w:rPr>
            </w:pPr>
            <w:bookmarkStart w:id="36" w:name="_Toc380653170"/>
            <w:bookmarkStart w:id="37" w:name="_Toc380761184"/>
            <w:bookmarkStart w:id="38" w:name="_Toc384294291"/>
            <w:bookmarkStart w:id="39" w:name="_Toc384294666"/>
            <w:r w:rsidRPr="00483AB2">
              <w:rPr>
                <w:rFonts w:ascii="Arial" w:hAnsi="Arial" w:cs="Arial"/>
                <w:bCs/>
                <w:iCs/>
                <w:sz w:val="18"/>
                <w:szCs w:val="18"/>
              </w:rPr>
              <w:t>50-249</w:t>
            </w:r>
            <w:bookmarkEnd w:id="36"/>
            <w:bookmarkEnd w:id="37"/>
            <w:bookmarkEnd w:id="38"/>
            <w:bookmarkEnd w:id="39"/>
          </w:p>
        </w:tc>
        <w:tc>
          <w:tcPr>
            <w:tcW w:w="1462"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70</w:t>
            </w:r>
          </w:p>
        </w:tc>
        <w:tc>
          <w:tcPr>
            <w:tcW w:w="1464"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2%</w:t>
            </w:r>
          </w:p>
        </w:tc>
        <w:tc>
          <w:tcPr>
            <w:tcW w:w="1796"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2%</w:t>
            </w:r>
          </w:p>
        </w:tc>
      </w:tr>
      <w:tr w:rsidR="00C66A67" w:rsidRPr="0043414A" w:rsidTr="003F520D">
        <w:trPr>
          <w:cantSplit/>
        </w:trPr>
        <w:tc>
          <w:tcPr>
            <w:tcW w:w="2003" w:type="dxa"/>
            <w:vAlign w:val="center"/>
          </w:tcPr>
          <w:p w:rsidR="00C66A67" w:rsidRPr="00483AB2" w:rsidRDefault="00C66A67" w:rsidP="003A0984">
            <w:pPr>
              <w:rPr>
                <w:rFonts w:ascii="Arial" w:hAnsi="Arial" w:cs="Arial"/>
                <w:bCs/>
                <w:iCs/>
                <w:sz w:val="18"/>
                <w:szCs w:val="18"/>
              </w:rPr>
            </w:pPr>
            <w:bookmarkStart w:id="40" w:name="_Toc380653175"/>
            <w:bookmarkStart w:id="41" w:name="_Toc380761189"/>
            <w:bookmarkStart w:id="42" w:name="_Toc384294296"/>
            <w:bookmarkStart w:id="43" w:name="_Toc384294671"/>
            <w:r w:rsidRPr="00483AB2">
              <w:rPr>
                <w:rFonts w:ascii="Arial" w:hAnsi="Arial" w:cs="Arial"/>
                <w:bCs/>
                <w:iCs/>
                <w:sz w:val="18"/>
                <w:szCs w:val="18"/>
              </w:rPr>
              <w:t>250+</w:t>
            </w:r>
            <w:bookmarkEnd w:id="40"/>
            <w:bookmarkEnd w:id="41"/>
            <w:bookmarkEnd w:id="42"/>
            <w:bookmarkEnd w:id="43"/>
          </w:p>
        </w:tc>
        <w:tc>
          <w:tcPr>
            <w:tcW w:w="1462"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15</w:t>
            </w:r>
          </w:p>
        </w:tc>
        <w:tc>
          <w:tcPr>
            <w:tcW w:w="1464"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&lt;1%</w:t>
            </w:r>
          </w:p>
        </w:tc>
        <w:tc>
          <w:tcPr>
            <w:tcW w:w="1796" w:type="dxa"/>
            <w:vAlign w:val="center"/>
          </w:tcPr>
          <w:p w:rsidR="00C66A67" w:rsidRPr="00483AB2" w:rsidRDefault="00C66A67" w:rsidP="003A0984">
            <w:pPr>
              <w:jc w:val="right"/>
              <w:rPr>
                <w:rFonts w:ascii="Arial" w:hAnsi="Arial" w:cs="Arial"/>
                <w:sz w:val="18"/>
                <w:szCs w:val="18"/>
              </w:rPr>
            </w:pPr>
            <w:r w:rsidRPr="00483AB2">
              <w:rPr>
                <w:rFonts w:ascii="Arial" w:hAnsi="Arial" w:cs="Arial"/>
                <w:sz w:val="18"/>
                <w:szCs w:val="18"/>
              </w:rPr>
              <w:t>&lt;1%</w:t>
            </w:r>
          </w:p>
        </w:tc>
      </w:tr>
      <w:tr w:rsidR="00C66A67" w:rsidRPr="0043414A" w:rsidTr="003F520D">
        <w:trPr>
          <w:cantSplit/>
        </w:trPr>
        <w:tc>
          <w:tcPr>
            <w:tcW w:w="2003" w:type="dxa"/>
            <w:vAlign w:val="center"/>
          </w:tcPr>
          <w:p w:rsidR="00C66A67" w:rsidRPr="00483AB2" w:rsidRDefault="00C66A67" w:rsidP="003A0984">
            <w:pPr>
              <w:rPr>
                <w:rFonts w:ascii="Arial" w:hAnsi="Arial" w:cs="Arial"/>
                <w:b/>
                <w:bCs/>
                <w:iCs/>
                <w:sz w:val="18"/>
                <w:szCs w:val="18"/>
              </w:rPr>
            </w:pPr>
            <w:bookmarkStart w:id="44" w:name="_Toc380653180"/>
            <w:bookmarkStart w:id="45" w:name="_Toc380761194"/>
            <w:bookmarkStart w:id="46" w:name="_Toc384294301"/>
            <w:bookmarkStart w:id="47" w:name="_Toc384294676"/>
            <w:r w:rsidRPr="00483AB2">
              <w:rPr>
                <w:rFonts w:ascii="Arial" w:hAnsi="Arial" w:cs="Arial"/>
                <w:b/>
                <w:bCs/>
                <w:iCs/>
                <w:sz w:val="18"/>
                <w:szCs w:val="18"/>
              </w:rPr>
              <w:t>Total</w:t>
            </w:r>
            <w:bookmarkEnd w:id="44"/>
            <w:bookmarkEnd w:id="45"/>
            <w:bookmarkEnd w:id="46"/>
            <w:bookmarkEnd w:id="47"/>
          </w:p>
        </w:tc>
        <w:tc>
          <w:tcPr>
            <w:tcW w:w="1462" w:type="dxa"/>
            <w:vAlign w:val="center"/>
          </w:tcPr>
          <w:p w:rsidR="00C66A67" w:rsidRPr="00483AB2" w:rsidRDefault="00C66A67" w:rsidP="003A0984">
            <w:pPr>
              <w:jc w:val="right"/>
              <w:rPr>
                <w:rFonts w:ascii="Arial" w:hAnsi="Arial" w:cs="Arial"/>
                <w:b/>
                <w:sz w:val="18"/>
                <w:szCs w:val="18"/>
              </w:rPr>
            </w:pPr>
            <w:r w:rsidRPr="00483AB2">
              <w:rPr>
                <w:rFonts w:ascii="Arial" w:hAnsi="Arial" w:cs="Arial"/>
                <w:b/>
                <w:sz w:val="18"/>
                <w:szCs w:val="18"/>
              </w:rPr>
              <w:t>3,795</w:t>
            </w:r>
          </w:p>
        </w:tc>
        <w:tc>
          <w:tcPr>
            <w:tcW w:w="1464" w:type="dxa"/>
            <w:vAlign w:val="center"/>
          </w:tcPr>
          <w:p w:rsidR="00C66A67" w:rsidRPr="00483AB2" w:rsidRDefault="00C66A67" w:rsidP="003A0984">
            <w:pPr>
              <w:jc w:val="right"/>
              <w:rPr>
                <w:rFonts w:ascii="Arial" w:hAnsi="Arial" w:cs="Arial"/>
                <w:b/>
                <w:sz w:val="18"/>
                <w:szCs w:val="18"/>
              </w:rPr>
            </w:pPr>
            <w:r w:rsidRPr="00483AB2">
              <w:rPr>
                <w:rFonts w:ascii="Arial" w:hAnsi="Arial" w:cs="Arial"/>
                <w:b/>
                <w:sz w:val="18"/>
                <w:szCs w:val="18"/>
              </w:rPr>
              <w:t>100%</w:t>
            </w:r>
          </w:p>
        </w:tc>
        <w:tc>
          <w:tcPr>
            <w:tcW w:w="1796" w:type="dxa"/>
            <w:vAlign w:val="center"/>
          </w:tcPr>
          <w:p w:rsidR="00C66A67" w:rsidRPr="00483AB2" w:rsidRDefault="00C66A67" w:rsidP="003A0984">
            <w:pPr>
              <w:jc w:val="right"/>
              <w:rPr>
                <w:rFonts w:ascii="Arial" w:hAnsi="Arial" w:cs="Arial"/>
                <w:b/>
                <w:sz w:val="18"/>
                <w:szCs w:val="18"/>
              </w:rPr>
            </w:pPr>
            <w:r w:rsidRPr="00483AB2">
              <w:rPr>
                <w:rFonts w:ascii="Arial" w:hAnsi="Arial" w:cs="Arial"/>
                <w:b/>
                <w:sz w:val="18"/>
                <w:szCs w:val="18"/>
              </w:rPr>
              <w:t>100%</w:t>
            </w:r>
          </w:p>
        </w:tc>
      </w:tr>
      <w:tr w:rsidR="00C66A67" w:rsidRPr="0043414A" w:rsidTr="003F520D">
        <w:trPr>
          <w:cantSplit/>
        </w:trPr>
        <w:tc>
          <w:tcPr>
            <w:tcW w:w="6725" w:type="dxa"/>
            <w:gridSpan w:val="4"/>
          </w:tcPr>
          <w:p w:rsidR="00C66A67" w:rsidRPr="00483AB2" w:rsidRDefault="00C66A67" w:rsidP="003A0984">
            <w:pPr>
              <w:rPr>
                <w:rFonts w:ascii="Arial" w:hAnsi="Arial" w:cs="Arial"/>
                <w:bCs/>
                <w:iCs/>
                <w:sz w:val="18"/>
                <w:szCs w:val="18"/>
              </w:rPr>
            </w:pPr>
            <w:bookmarkStart w:id="48" w:name="_Toc372570440"/>
            <w:bookmarkStart w:id="49" w:name="_Toc372639797"/>
            <w:bookmarkStart w:id="50" w:name="_Toc372651954"/>
            <w:bookmarkStart w:id="51" w:name="_Toc372667549"/>
            <w:bookmarkStart w:id="52" w:name="_Toc380653185"/>
            <w:bookmarkStart w:id="53" w:name="_Toc380761199"/>
            <w:bookmarkStart w:id="54" w:name="_Toc384294306"/>
            <w:bookmarkStart w:id="55" w:name="_Toc384294681"/>
            <w:r w:rsidRPr="00483AB2">
              <w:rPr>
                <w:rFonts w:ascii="Arial" w:hAnsi="Arial" w:cs="Arial"/>
                <w:bCs/>
                <w:iCs/>
                <w:sz w:val="18"/>
                <w:szCs w:val="18"/>
              </w:rPr>
              <w:t>Source: UK Business Count</w:t>
            </w:r>
            <w:bookmarkEnd w:id="48"/>
            <w:bookmarkEnd w:id="49"/>
            <w:bookmarkEnd w:id="50"/>
            <w:bookmarkEnd w:id="51"/>
            <w:bookmarkEnd w:id="52"/>
            <w:bookmarkEnd w:id="53"/>
            <w:bookmarkEnd w:id="54"/>
            <w:bookmarkEnd w:id="55"/>
            <w:r w:rsidRPr="00483AB2">
              <w:rPr>
                <w:rFonts w:ascii="Arial" w:hAnsi="Arial" w:cs="Arial"/>
                <w:bCs/>
                <w:iCs/>
                <w:sz w:val="18"/>
                <w:szCs w:val="18"/>
              </w:rPr>
              <w:t>.  Note data from this source is subject to rounding.</w:t>
            </w:r>
          </w:p>
        </w:tc>
      </w:tr>
    </w:tbl>
    <w:p w:rsidR="00C66A67" w:rsidRDefault="00C66A67" w:rsidP="00C66A67">
      <w:pPr>
        <w:keepNext/>
        <w:ind w:right="1625"/>
        <w:outlineLvl w:val="1"/>
        <w:rPr>
          <w:rFonts w:ascii="Arial" w:hAnsi="Arial" w:cs="Arial"/>
          <w:b/>
          <w:bCs/>
          <w:iCs/>
          <w:color w:val="660066"/>
          <w:sz w:val="22"/>
          <w:szCs w:val="22"/>
        </w:rPr>
      </w:pPr>
      <w:bookmarkStart w:id="56" w:name="_Toc419469472"/>
      <w:bookmarkStart w:id="57" w:name="_Toc421889359"/>
    </w:p>
    <w:p w:rsidR="00C66A67" w:rsidRPr="003F520D" w:rsidRDefault="00C66A67" w:rsidP="00C66A67">
      <w:pPr>
        <w:keepNext/>
        <w:ind w:right="1625"/>
        <w:outlineLvl w:val="1"/>
        <w:rPr>
          <w:rFonts w:ascii="Arial" w:hAnsi="Arial" w:cs="Arial"/>
          <w:b/>
          <w:bCs/>
          <w:iCs/>
          <w:color w:val="660066"/>
          <w:sz w:val="6"/>
          <w:szCs w:val="6"/>
        </w:rPr>
      </w:pPr>
    </w:p>
    <w:p w:rsidR="00C66A67" w:rsidRPr="009232EA" w:rsidRDefault="00C66A67" w:rsidP="00C66A67">
      <w:pPr>
        <w:keepNext/>
        <w:ind w:right="1625"/>
        <w:outlineLvl w:val="1"/>
        <w:rPr>
          <w:rFonts w:ascii="Arial Bold" w:hAnsi="Arial Bold" w:cs="Arial"/>
          <w:b/>
          <w:bCs/>
          <w:iCs/>
          <w:color w:val="6C2768"/>
          <w:sz w:val="22"/>
          <w:szCs w:val="22"/>
        </w:rPr>
      </w:pPr>
      <w:bookmarkStart w:id="58" w:name="_Toc422907639"/>
      <w:bookmarkStart w:id="59" w:name="_Toc424128467"/>
      <w:r w:rsidRPr="009232EA">
        <w:rPr>
          <w:rFonts w:ascii="Arial Bold" w:hAnsi="Arial Bold" w:cs="Arial"/>
          <w:b/>
          <w:bCs/>
          <w:iCs/>
          <w:color w:val="6C2768"/>
          <w:sz w:val="22"/>
          <w:szCs w:val="22"/>
        </w:rPr>
        <w:t>Employment in the Visitor Economy</w:t>
      </w:r>
      <w:r w:rsidRPr="009232EA">
        <w:rPr>
          <w:rStyle w:val="FootnoteReference"/>
          <w:rFonts w:ascii="Arial Bold" w:hAnsi="Arial Bold"/>
          <w:b/>
          <w:bCs/>
          <w:iCs/>
          <w:color w:val="6C2768"/>
          <w:sz w:val="22"/>
          <w:szCs w:val="22"/>
        </w:rPr>
        <w:footnoteReference w:id="26"/>
      </w:r>
      <w:bookmarkEnd w:id="56"/>
      <w:bookmarkEnd w:id="57"/>
      <w:bookmarkEnd w:id="58"/>
      <w:bookmarkEnd w:id="59"/>
      <w:r w:rsidRPr="009232EA">
        <w:rPr>
          <w:rFonts w:ascii="Arial Bold" w:hAnsi="Arial Bold" w:cs="Arial"/>
          <w:b/>
          <w:bCs/>
          <w:iCs/>
          <w:color w:val="6C2768"/>
          <w:sz w:val="22"/>
          <w:szCs w:val="22"/>
        </w:rPr>
        <w:t xml:space="preserve"> </w:t>
      </w: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Total Employment</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sidRPr="009C29E6">
        <w:rPr>
          <w:rFonts w:cs="Arial"/>
          <w:sz w:val="18"/>
          <w:szCs w:val="18"/>
        </w:rPr>
        <w:t xml:space="preserve">In </w:t>
      </w:r>
      <w:r w:rsidRPr="009C29E6">
        <w:rPr>
          <w:sz w:val="18"/>
          <w:szCs w:val="18"/>
        </w:rPr>
        <w:t xml:space="preserve">2013, Lancashire’s visitor economy employed approximately </w:t>
      </w:r>
      <w:r w:rsidRPr="000115C9">
        <w:rPr>
          <w:sz w:val="18"/>
          <w:szCs w:val="18"/>
        </w:rPr>
        <w:t>50,500</w:t>
      </w:r>
      <w:r w:rsidRPr="009C29E6">
        <w:rPr>
          <w:sz w:val="18"/>
          <w:szCs w:val="18"/>
        </w:rPr>
        <w:t xml:space="preserve"> people, equating to 8% of all employment in the county, i.e. around 1 in every 12 </w:t>
      </w:r>
      <w:r w:rsidR="000115C9">
        <w:rPr>
          <w:sz w:val="18"/>
          <w:szCs w:val="18"/>
        </w:rPr>
        <w:t xml:space="preserve">jobs </w:t>
      </w:r>
      <w:r w:rsidRPr="009C29E6">
        <w:rPr>
          <w:sz w:val="18"/>
          <w:szCs w:val="18"/>
        </w:rPr>
        <w:t>in Lancashire w</w:t>
      </w:r>
      <w:r w:rsidR="003F520D">
        <w:rPr>
          <w:sz w:val="18"/>
          <w:szCs w:val="18"/>
        </w:rPr>
        <w:t xml:space="preserve">as </w:t>
      </w:r>
      <w:r w:rsidRPr="009C29E6">
        <w:rPr>
          <w:sz w:val="18"/>
          <w:szCs w:val="18"/>
        </w:rPr>
        <w:t xml:space="preserve">in the visitor economy.  This is in line with the profile nationally. </w:t>
      </w:r>
    </w:p>
    <w:p w:rsidR="00C66A67" w:rsidRPr="00952BD3" w:rsidRDefault="00C66A67" w:rsidP="00C66A67">
      <w:pPr>
        <w:pStyle w:val="normalnumbered"/>
        <w:numPr>
          <w:ilvl w:val="1"/>
          <w:numId w:val="1"/>
        </w:numPr>
        <w:tabs>
          <w:tab w:val="clear" w:pos="2666"/>
          <w:tab w:val="num" w:pos="709"/>
          <w:tab w:val="num" w:pos="2240"/>
        </w:tabs>
        <w:spacing w:line="264" w:lineRule="auto"/>
        <w:ind w:left="0" w:right="40" w:firstLine="0"/>
        <w:rPr>
          <w:sz w:val="18"/>
          <w:szCs w:val="18"/>
        </w:rPr>
      </w:pPr>
      <w:r>
        <w:rPr>
          <w:rFonts w:cs="Arial"/>
          <w:sz w:val="18"/>
          <w:szCs w:val="18"/>
        </w:rPr>
        <w:t xml:space="preserve">The overall sectoral profile of employment in Lancashire relative to nationally (excluding London) shows that employment in those sectors typically associated with the visitor economy (accommodation and food and arts, entertainment and recreation) is in proportion to national averages. </w:t>
      </w:r>
    </w:p>
    <w:p w:rsidR="00C66A67" w:rsidRDefault="00C66A67" w:rsidP="00C66A67">
      <w:pPr>
        <w:pStyle w:val="normalnumbered"/>
        <w:tabs>
          <w:tab w:val="clear" w:pos="2666"/>
          <w:tab w:val="num" w:pos="2240"/>
        </w:tabs>
        <w:spacing w:line="264" w:lineRule="auto"/>
        <w:ind w:left="0" w:right="40" w:firstLine="0"/>
        <w:rPr>
          <w:sz w:val="18"/>
          <w:szCs w:val="18"/>
        </w:rPr>
      </w:pPr>
      <w:r w:rsidRPr="00952BD3">
        <w:rPr>
          <w:noProof/>
          <w:szCs w:val="18"/>
        </w:rPr>
        <w:lastRenderedPageBreak/>
        <w:drawing>
          <wp:inline distT="0" distB="0" distL="0" distR="0">
            <wp:extent cx="4201795" cy="2993850"/>
            <wp:effectExtent l="19050" t="0" r="825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201795" cy="2993850"/>
                    </a:xfrm>
                    <a:prstGeom prst="rect">
                      <a:avLst/>
                    </a:prstGeom>
                    <a:noFill/>
                    <a:ln w="9525">
                      <a:noFill/>
                      <a:miter lim="800000"/>
                      <a:headEnd/>
                      <a:tailEnd/>
                    </a:ln>
                  </pic:spPr>
                </pic:pic>
              </a:graphicData>
            </a:graphic>
          </wp:inline>
        </w:drawing>
      </w: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Geographic Profile</w:t>
      </w:r>
    </w:p>
    <w:p w:rsidR="00C66A67" w:rsidRPr="008C3A6C"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8C3A6C">
        <w:rPr>
          <w:rFonts w:cs="Arial"/>
          <w:sz w:val="18"/>
          <w:szCs w:val="18"/>
        </w:rPr>
        <w:t>Blackpool, Fylde and Wyre accounts for just over a third of all visitor economy employment in Lancashire and just over a fifth of total employment (all sectors), demonstrating once again the significance of the visitor economy to this sub-</w:t>
      </w:r>
      <w:r>
        <w:rPr>
          <w:rFonts w:cs="Arial"/>
          <w:sz w:val="18"/>
          <w:szCs w:val="18"/>
        </w:rPr>
        <w:t>geography</w:t>
      </w:r>
      <w:r w:rsidRPr="008C3A6C">
        <w:rPr>
          <w:rFonts w:cs="Arial"/>
          <w:sz w:val="18"/>
          <w:szCs w:val="18"/>
        </w:rPr>
        <w:t xml:space="preserve">. </w:t>
      </w:r>
      <w:r>
        <w:rPr>
          <w:rFonts w:cs="Arial"/>
          <w:sz w:val="18"/>
          <w:szCs w:val="18"/>
        </w:rPr>
        <w:t>It</w:t>
      </w:r>
      <w:r w:rsidRPr="008C3A6C">
        <w:rPr>
          <w:rFonts w:cs="Arial"/>
          <w:sz w:val="18"/>
          <w:szCs w:val="18"/>
        </w:rPr>
        <w:t xml:space="preserve"> also has a higher concentration of larger visitor economy employers (to be expected given the prevalence of large visitor attractions in Blackpool).  </w:t>
      </w:r>
      <w:r w:rsidRPr="00295E22">
        <w:rPr>
          <w:rFonts w:cs="Arial"/>
          <w:sz w:val="18"/>
          <w:szCs w:val="18"/>
        </w:rPr>
        <w:t xml:space="preserve">East and Central Lancashire </w:t>
      </w:r>
      <w:r>
        <w:rPr>
          <w:rFonts w:cs="Arial"/>
          <w:sz w:val="18"/>
          <w:szCs w:val="18"/>
        </w:rPr>
        <w:t xml:space="preserve">each account </w:t>
      </w:r>
      <w:r w:rsidRPr="00295E22">
        <w:rPr>
          <w:rFonts w:cs="Arial"/>
          <w:sz w:val="18"/>
          <w:szCs w:val="18"/>
        </w:rPr>
        <w:t xml:space="preserve">for just under a quarter </w:t>
      </w:r>
      <w:r>
        <w:rPr>
          <w:rFonts w:cs="Arial"/>
          <w:sz w:val="18"/>
          <w:szCs w:val="18"/>
        </w:rPr>
        <w:t xml:space="preserve">of visitor economy employment.  In both cases these are smaller proportions than the sub-geographies’ share of total employment.  </w:t>
      </w:r>
    </w:p>
    <w:p w:rsidR="00C66A67" w:rsidRDefault="00C66A67" w:rsidP="00C66A67">
      <w:pPr>
        <w:pStyle w:val="normalnumbered"/>
        <w:tabs>
          <w:tab w:val="clear" w:pos="2666"/>
        </w:tabs>
        <w:spacing w:line="264" w:lineRule="auto"/>
        <w:ind w:left="0" w:right="40" w:firstLine="0"/>
        <w:rPr>
          <w:rFonts w:cs="Arial"/>
          <w:sz w:val="18"/>
          <w:szCs w:val="18"/>
        </w:rPr>
      </w:pPr>
    </w:p>
    <w:p w:rsidR="008F44E1" w:rsidRDefault="008F44E1" w:rsidP="00C66A67">
      <w:pPr>
        <w:pStyle w:val="normalnumbered"/>
        <w:tabs>
          <w:tab w:val="clear" w:pos="2666"/>
        </w:tabs>
        <w:spacing w:line="264" w:lineRule="auto"/>
        <w:ind w:left="0" w:right="40" w:firstLine="0"/>
        <w:rPr>
          <w:rFonts w:cs="Arial"/>
          <w:sz w:val="18"/>
          <w:szCs w:val="18"/>
        </w:rPr>
      </w:pPr>
    </w:p>
    <w:p w:rsidR="008F44E1" w:rsidRDefault="008F44E1" w:rsidP="00C66A67">
      <w:pPr>
        <w:pStyle w:val="normalnumbered"/>
        <w:tabs>
          <w:tab w:val="clear" w:pos="2666"/>
        </w:tabs>
        <w:spacing w:line="264" w:lineRule="auto"/>
        <w:ind w:left="0" w:right="40" w:firstLine="0"/>
        <w:rPr>
          <w:rFonts w:cs="Arial"/>
          <w:sz w:val="18"/>
          <w:szCs w:val="18"/>
        </w:rPr>
      </w:pPr>
    </w:p>
    <w:tbl>
      <w:tblPr>
        <w:tblW w:w="675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10"/>
        <w:gridCol w:w="1449"/>
        <w:gridCol w:w="1450"/>
        <w:gridCol w:w="1450"/>
      </w:tblGrid>
      <w:tr w:rsidR="00C66A67" w:rsidRPr="00172B04" w:rsidTr="003F520D">
        <w:trPr>
          <w:trHeight w:val="312"/>
        </w:trPr>
        <w:tc>
          <w:tcPr>
            <w:tcW w:w="6759" w:type="dxa"/>
            <w:gridSpan w:val="4"/>
            <w:shd w:val="clear" w:color="auto" w:fill="660066"/>
            <w:noWrap/>
            <w:vAlign w:val="center"/>
            <w:hideMark/>
          </w:tcPr>
          <w:p w:rsidR="00C66A67" w:rsidRPr="00172B04" w:rsidRDefault="00C66A67" w:rsidP="003A0984">
            <w:pPr>
              <w:rPr>
                <w:rFonts w:ascii="Arial" w:hAnsi="Arial" w:cs="Arial"/>
                <w:color w:val="FFFFFF" w:themeColor="background1"/>
                <w:sz w:val="18"/>
                <w:szCs w:val="20"/>
              </w:rPr>
            </w:pPr>
            <w:r w:rsidRPr="00172B04">
              <w:rPr>
                <w:rFonts w:ascii="Arial" w:hAnsi="Arial" w:cs="Arial"/>
                <w:b/>
                <w:bCs/>
                <w:iCs/>
                <w:color w:val="FFFFFF" w:themeColor="background1"/>
                <w:sz w:val="18"/>
                <w:szCs w:val="18"/>
              </w:rPr>
              <w:lastRenderedPageBreak/>
              <w:t xml:space="preserve">Visitor Economy Employment by Sub-Geography </w:t>
            </w:r>
            <w:r>
              <w:rPr>
                <w:rFonts w:ascii="Arial" w:hAnsi="Arial" w:cs="Arial"/>
                <w:b/>
                <w:bCs/>
                <w:iCs/>
                <w:color w:val="FFFFFF" w:themeColor="background1"/>
                <w:sz w:val="18"/>
                <w:szCs w:val="18"/>
              </w:rPr>
              <w:t>(</w:t>
            </w:r>
            <w:r w:rsidRPr="00172B04">
              <w:rPr>
                <w:rFonts w:ascii="Arial" w:hAnsi="Arial" w:cs="Arial"/>
                <w:b/>
                <w:bCs/>
                <w:iCs/>
                <w:color w:val="FFFFFF" w:themeColor="background1"/>
                <w:sz w:val="18"/>
                <w:szCs w:val="18"/>
              </w:rPr>
              <w:t>2013</w:t>
            </w:r>
            <w:r>
              <w:rPr>
                <w:rFonts w:ascii="Arial" w:hAnsi="Arial" w:cs="Arial"/>
                <w:b/>
                <w:bCs/>
                <w:iCs/>
                <w:color w:val="FFFFFF" w:themeColor="background1"/>
                <w:sz w:val="18"/>
                <w:szCs w:val="18"/>
              </w:rPr>
              <w:t>)</w:t>
            </w:r>
          </w:p>
        </w:tc>
      </w:tr>
      <w:tr w:rsidR="00C66A67" w:rsidRPr="00172B04" w:rsidTr="003F520D">
        <w:trPr>
          <w:trHeight w:val="255"/>
        </w:trPr>
        <w:tc>
          <w:tcPr>
            <w:tcW w:w="2410" w:type="dxa"/>
            <w:shd w:val="clear" w:color="auto" w:fill="auto"/>
            <w:noWrap/>
            <w:vAlign w:val="center"/>
            <w:hideMark/>
          </w:tcPr>
          <w:p w:rsidR="00C66A67" w:rsidRPr="00172B04" w:rsidRDefault="00C66A67" w:rsidP="003A0984">
            <w:pPr>
              <w:jc w:val="right"/>
              <w:rPr>
                <w:rFonts w:ascii="Arial" w:hAnsi="Arial" w:cs="Arial"/>
                <w:b/>
                <w:sz w:val="18"/>
                <w:szCs w:val="20"/>
              </w:rPr>
            </w:pPr>
          </w:p>
        </w:tc>
        <w:tc>
          <w:tcPr>
            <w:tcW w:w="1449" w:type="dxa"/>
            <w:shd w:val="clear" w:color="auto" w:fill="auto"/>
            <w:noWrap/>
            <w:vAlign w:val="center"/>
            <w:hideMark/>
          </w:tcPr>
          <w:p w:rsidR="00C66A67" w:rsidRPr="00172B04" w:rsidRDefault="00C66A67" w:rsidP="003A0984">
            <w:pPr>
              <w:jc w:val="right"/>
              <w:rPr>
                <w:rFonts w:ascii="Arial" w:hAnsi="Arial" w:cs="Arial"/>
                <w:b/>
                <w:sz w:val="18"/>
                <w:szCs w:val="20"/>
              </w:rPr>
            </w:pPr>
            <w:r w:rsidRPr="00172B04">
              <w:rPr>
                <w:rFonts w:ascii="Arial" w:hAnsi="Arial" w:cs="Arial"/>
                <w:b/>
                <w:sz w:val="18"/>
                <w:szCs w:val="20"/>
              </w:rPr>
              <w:t>Employment</w:t>
            </w:r>
          </w:p>
        </w:tc>
        <w:tc>
          <w:tcPr>
            <w:tcW w:w="1450" w:type="dxa"/>
            <w:shd w:val="clear" w:color="auto" w:fill="auto"/>
            <w:noWrap/>
            <w:vAlign w:val="center"/>
            <w:hideMark/>
          </w:tcPr>
          <w:p w:rsidR="00C66A67" w:rsidRPr="00456B2A" w:rsidRDefault="00C66A67" w:rsidP="003A0984">
            <w:pPr>
              <w:jc w:val="right"/>
              <w:rPr>
                <w:rFonts w:ascii="Arial" w:hAnsi="Arial" w:cs="Arial"/>
                <w:b/>
                <w:sz w:val="18"/>
                <w:szCs w:val="18"/>
              </w:rPr>
            </w:pPr>
            <w:r>
              <w:rPr>
                <w:rFonts w:ascii="Arial" w:hAnsi="Arial" w:cs="Arial"/>
                <w:b/>
                <w:sz w:val="18"/>
                <w:szCs w:val="18"/>
              </w:rPr>
              <w:t>% of Lancashire VE sector employment</w:t>
            </w:r>
          </w:p>
        </w:tc>
        <w:tc>
          <w:tcPr>
            <w:tcW w:w="1450" w:type="dxa"/>
            <w:shd w:val="clear" w:color="auto" w:fill="auto"/>
            <w:noWrap/>
            <w:vAlign w:val="center"/>
            <w:hideMark/>
          </w:tcPr>
          <w:p w:rsidR="00C66A67" w:rsidRPr="00172B04" w:rsidRDefault="00C66A67" w:rsidP="003A0984">
            <w:pPr>
              <w:jc w:val="right"/>
              <w:rPr>
                <w:rFonts w:ascii="Arial" w:hAnsi="Arial" w:cs="Arial"/>
                <w:b/>
                <w:sz w:val="18"/>
                <w:szCs w:val="20"/>
              </w:rPr>
            </w:pPr>
            <w:r w:rsidRPr="00172B04">
              <w:rPr>
                <w:rFonts w:ascii="Arial" w:hAnsi="Arial" w:cs="Arial"/>
                <w:b/>
                <w:sz w:val="18"/>
                <w:szCs w:val="20"/>
              </w:rPr>
              <w:t xml:space="preserve">% of </w:t>
            </w:r>
            <w:r>
              <w:rPr>
                <w:rFonts w:ascii="Arial" w:hAnsi="Arial" w:cs="Arial"/>
                <w:b/>
                <w:sz w:val="18"/>
                <w:szCs w:val="20"/>
              </w:rPr>
              <w:t>all Lancashire employment</w:t>
            </w:r>
          </w:p>
        </w:tc>
      </w:tr>
      <w:tr w:rsidR="00C66A67" w:rsidRPr="00172B04" w:rsidTr="003F520D">
        <w:trPr>
          <w:trHeight w:val="255"/>
        </w:trPr>
        <w:tc>
          <w:tcPr>
            <w:tcW w:w="2410" w:type="dxa"/>
            <w:shd w:val="clear" w:color="auto" w:fill="auto"/>
            <w:noWrap/>
            <w:vAlign w:val="bottom"/>
            <w:hideMark/>
          </w:tcPr>
          <w:p w:rsidR="00C66A67" w:rsidRPr="00172B04" w:rsidRDefault="00C66A67" w:rsidP="003A0984">
            <w:pPr>
              <w:rPr>
                <w:rFonts w:ascii="Arial" w:hAnsi="Arial" w:cs="Arial"/>
                <w:sz w:val="18"/>
                <w:szCs w:val="20"/>
              </w:rPr>
            </w:pPr>
            <w:r w:rsidRPr="00172B04">
              <w:rPr>
                <w:rFonts w:ascii="Arial" w:hAnsi="Arial" w:cs="Arial"/>
                <w:sz w:val="18"/>
                <w:szCs w:val="20"/>
              </w:rPr>
              <w:t>Blackpool, Fylde</w:t>
            </w:r>
            <w:r>
              <w:rPr>
                <w:rFonts w:ascii="Arial" w:hAnsi="Arial" w:cs="Arial"/>
                <w:sz w:val="18"/>
                <w:szCs w:val="20"/>
              </w:rPr>
              <w:t xml:space="preserve"> and </w:t>
            </w:r>
            <w:r w:rsidRPr="00172B04">
              <w:rPr>
                <w:rFonts w:ascii="Arial" w:hAnsi="Arial" w:cs="Arial"/>
                <w:sz w:val="18"/>
                <w:szCs w:val="20"/>
              </w:rPr>
              <w:t>Wyre</w:t>
            </w:r>
          </w:p>
        </w:tc>
        <w:tc>
          <w:tcPr>
            <w:tcW w:w="1449"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17,200</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34%</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Pr>
                <w:rFonts w:ascii="Arial" w:hAnsi="Arial" w:cs="Arial"/>
                <w:sz w:val="18"/>
                <w:szCs w:val="20"/>
              </w:rPr>
              <w:t>21%</w:t>
            </w:r>
          </w:p>
        </w:tc>
      </w:tr>
      <w:tr w:rsidR="00C66A67" w:rsidRPr="00172B04" w:rsidTr="003F520D">
        <w:trPr>
          <w:trHeight w:val="255"/>
        </w:trPr>
        <w:tc>
          <w:tcPr>
            <w:tcW w:w="2410" w:type="dxa"/>
            <w:shd w:val="clear" w:color="auto" w:fill="auto"/>
            <w:noWrap/>
            <w:vAlign w:val="bottom"/>
            <w:hideMark/>
          </w:tcPr>
          <w:p w:rsidR="00C66A67" w:rsidRPr="00172B04" w:rsidRDefault="00C66A67" w:rsidP="003A0984">
            <w:pPr>
              <w:rPr>
                <w:rFonts w:ascii="Arial" w:hAnsi="Arial" w:cs="Arial"/>
                <w:sz w:val="18"/>
                <w:szCs w:val="20"/>
              </w:rPr>
            </w:pPr>
            <w:r w:rsidRPr="00172B04">
              <w:rPr>
                <w:rFonts w:ascii="Arial" w:hAnsi="Arial" w:cs="Arial"/>
                <w:sz w:val="18"/>
                <w:szCs w:val="20"/>
              </w:rPr>
              <w:t>East Lanc</w:t>
            </w:r>
            <w:r>
              <w:rPr>
                <w:rFonts w:ascii="Arial" w:hAnsi="Arial" w:cs="Arial"/>
                <w:sz w:val="18"/>
                <w:szCs w:val="20"/>
              </w:rPr>
              <w:t>ashire</w:t>
            </w:r>
          </w:p>
        </w:tc>
        <w:tc>
          <w:tcPr>
            <w:tcW w:w="1449"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12,100</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24%</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Pr>
                <w:rFonts w:ascii="Arial" w:hAnsi="Arial" w:cs="Arial"/>
                <w:sz w:val="18"/>
                <w:szCs w:val="20"/>
              </w:rPr>
              <w:t>34%</w:t>
            </w:r>
          </w:p>
        </w:tc>
      </w:tr>
      <w:tr w:rsidR="00C66A67" w:rsidRPr="00172B04" w:rsidTr="003F520D">
        <w:trPr>
          <w:trHeight w:val="255"/>
        </w:trPr>
        <w:tc>
          <w:tcPr>
            <w:tcW w:w="2410" w:type="dxa"/>
            <w:shd w:val="clear" w:color="auto" w:fill="auto"/>
            <w:noWrap/>
            <w:vAlign w:val="bottom"/>
            <w:hideMark/>
          </w:tcPr>
          <w:p w:rsidR="00C66A67" w:rsidRPr="00172B04" w:rsidRDefault="00C66A67" w:rsidP="003A0984">
            <w:pPr>
              <w:rPr>
                <w:rFonts w:ascii="Arial" w:hAnsi="Arial" w:cs="Arial"/>
                <w:sz w:val="18"/>
                <w:szCs w:val="20"/>
              </w:rPr>
            </w:pPr>
            <w:r w:rsidRPr="00172B04">
              <w:rPr>
                <w:rFonts w:ascii="Arial" w:hAnsi="Arial" w:cs="Arial"/>
                <w:sz w:val="18"/>
                <w:szCs w:val="20"/>
              </w:rPr>
              <w:t>Central Lanc</w:t>
            </w:r>
            <w:r>
              <w:rPr>
                <w:rFonts w:ascii="Arial" w:hAnsi="Arial" w:cs="Arial"/>
                <w:sz w:val="18"/>
                <w:szCs w:val="20"/>
              </w:rPr>
              <w:t>ashire</w:t>
            </w:r>
          </w:p>
        </w:tc>
        <w:tc>
          <w:tcPr>
            <w:tcW w:w="1449"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11,600</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23%</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Pr>
                <w:rFonts w:ascii="Arial" w:hAnsi="Arial" w:cs="Arial"/>
                <w:sz w:val="18"/>
                <w:szCs w:val="20"/>
              </w:rPr>
              <w:t>29%</w:t>
            </w:r>
          </w:p>
        </w:tc>
      </w:tr>
      <w:tr w:rsidR="00C66A67" w:rsidRPr="00172B04" w:rsidTr="003F520D">
        <w:trPr>
          <w:trHeight w:val="255"/>
        </w:trPr>
        <w:tc>
          <w:tcPr>
            <w:tcW w:w="2410" w:type="dxa"/>
            <w:shd w:val="clear" w:color="auto" w:fill="auto"/>
            <w:noWrap/>
            <w:vAlign w:val="bottom"/>
            <w:hideMark/>
          </w:tcPr>
          <w:p w:rsidR="00C66A67" w:rsidRPr="00172B04" w:rsidRDefault="00C66A67" w:rsidP="003A0984">
            <w:pPr>
              <w:rPr>
                <w:rFonts w:ascii="Arial" w:hAnsi="Arial" w:cs="Arial"/>
                <w:sz w:val="18"/>
                <w:szCs w:val="20"/>
              </w:rPr>
            </w:pPr>
            <w:r w:rsidRPr="00172B04">
              <w:rPr>
                <w:rFonts w:ascii="Arial" w:hAnsi="Arial" w:cs="Arial"/>
                <w:sz w:val="18"/>
                <w:szCs w:val="20"/>
              </w:rPr>
              <w:t>Lancaster</w:t>
            </w:r>
          </w:p>
        </w:tc>
        <w:tc>
          <w:tcPr>
            <w:tcW w:w="1449"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5,400</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11%</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Pr>
                <w:rFonts w:ascii="Arial" w:hAnsi="Arial" w:cs="Arial"/>
                <w:sz w:val="18"/>
                <w:szCs w:val="20"/>
              </w:rPr>
              <w:t>9%</w:t>
            </w:r>
          </w:p>
        </w:tc>
      </w:tr>
      <w:tr w:rsidR="00C66A67" w:rsidRPr="00172B04" w:rsidTr="003F520D">
        <w:trPr>
          <w:trHeight w:val="255"/>
        </w:trPr>
        <w:tc>
          <w:tcPr>
            <w:tcW w:w="2410" w:type="dxa"/>
            <w:shd w:val="clear" w:color="auto" w:fill="auto"/>
            <w:noWrap/>
            <w:vAlign w:val="bottom"/>
            <w:hideMark/>
          </w:tcPr>
          <w:p w:rsidR="00C66A67" w:rsidRPr="00172B04" w:rsidRDefault="00C66A67" w:rsidP="003A0984">
            <w:pPr>
              <w:rPr>
                <w:rFonts w:ascii="Arial" w:hAnsi="Arial" w:cs="Arial"/>
                <w:sz w:val="18"/>
                <w:szCs w:val="20"/>
              </w:rPr>
            </w:pPr>
            <w:r w:rsidRPr="00172B04">
              <w:rPr>
                <w:rFonts w:ascii="Arial" w:hAnsi="Arial" w:cs="Arial"/>
                <w:sz w:val="18"/>
                <w:szCs w:val="20"/>
              </w:rPr>
              <w:t>West Lancashire</w:t>
            </w:r>
          </w:p>
        </w:tc>
        <w:tc>
          <w:tcPr>
            <w:tcW w:w="1449"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4,200</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sidRPr="00172B04">
              <w:rPr>
                <w:rFonts w:ascii="Arial" w:hAnsi="Arial" w:cs="Arial"/>
                <w:sz w:val="18"/>
                <w:szCs w:val="20"/>
              </w:rPr>
              <w:t>8%</w:t>
            </w:r>
          </w:p>
        </w:tc>
        <w:tc>
          <w:tcPr>
            <w:tcW w:w="1450" w:type="dxa"/>
            <w:shd w:val="clear" w:color="auto" w:fill="auto"/>
            <w:noWrap/>
            <w:vAlign w:val="bottom"/>
            <w:hideMark/>
          </w:tcPr>
          <w:p w:rsidR="00C66A67" w:rsidRPr="00172B04" w:rsidRDefault="00C66A67" w:rsidP="003A0984">
            <w:pPr>
              <w:jc w:val="right"/>
              <w:rPr>
                <w:rFonts w:ascii="Arial" w:hAnsi="Arial" w:cs="Arial"/>
                <w:sz w:val="18"/>
                <w:szCs w:val="20"/>
              </w:rPr>
            </w:pPr>
            <w:r>
              <w:rPr>
                <w:rFonts w:ascii="Arial" w:hAnsi="Arial" w:cs="Arial"/>
                <w:sz w:val="18"/>
                <w:szCs w:val="20"/>
              </w:rPr>
              <w:t>7%</w:t>
            </w:r>
          </w:p>
        </w:tc>
      </w:tr>
      <w:tr w:rsidR="00C66A67" w:rsidRPr="00172B04" w:rsidTr="003F520D">
        <w:trPr>
          <w:trHeight w:val="255"/>
        </w:trPr>
        <w:tc>
          <w:tcPr>
            <w:tcW w:w="2410" w:type="dxa"/>
            <w:shd w:val="clear" w:color="auto" w:fill="auto"/>
            <w:noWrap/>
            <w:vAlign w:val="bottom"/>
            <w:hideMark/>
          </w:tcPr>
          <w:p w:rsidR="00C66A67" w:rsidRPr="00750A39" w:rsidRDefault="00C66A67" w:rsidP="003A0984">
            <w:pPr>
              <w:rPr>
                <w:rFonts w:ascii="Arial" w:hAnsi="Arial" w:cs="Arial"/>
                <w:b/>
                <w:sz w:val="18"/>
                <w:szCs w:val="20"/>
              </w:rPr>
            </w:pPr>
            <w:r>
              <w:rPr>
                <w:rFonts w:ascii="Arial" w:hAnsi="Arial" w:cs="Arial"/>
                <w:b/>
                <w:sz w:val="18"/>
                <w:szCs w:val="20"/>
              </w:rPr>
              <w:t>Total</w:t>
            </w:r>
          </w:p>
        </w:tc>
        <w:tc>
          <w:tcPr>
            <w:tcW w:w="1449" w:type="dxa"/>
            <w:shd w:val="clear" w:color="auto" w:fill="auto"/>
            <w:noWrap/>
            <w:vAlign w:val="bottom"/>
            <w:hideMark/>
          </w:tcPr>
          <w:p w:rsidR="00C66A67" w:rsidRPr="00750A39" w:rsidRDefault="00C66A67" w:rsidP="003A0984">
            <w:pPr>
              <w:jc w:val="right"/>
              <w:rPr>
                <w:rFonts w:ascii="Arial" w:hAnsi="Arial" w:cs="Arial"/>
                <w:b/>
                <w:sz w:val="18"/>
                <w:szCs w:val="20"/>
              </w:rPr>
            </w:pPr>
            <w:r w:rsidRPr="00750A39">
              <w:rPr>
                <w:rFonts w:ascii="Arial" w:hAnsi="Arial" w:cs="Arial"/>
                <w:b/>
                <w:sz w:val="18"/>
                <w:szCs w:val="20"/>
              </w:rPr>
              <w:t>50,500</w:t>
            </w:r>
          </w:p>
        </w:tc>
        <w:tc>
          <w:tcPr>
            <w:tcW w:w="1450" w:type="dxa"/>
            <w:shd w:val="clear" w:color="auto" w:fill="auto"/>
            <w:noWrap/>
            <w:vAlign w:val="bottom"/>
            <w:hideMark/>
          </w:tcPr>
          <w:p w:rsidR="00C66A67" w:rsidRPr="00750A39" w:rsidRDefault="00C66A67" w:rsidP="003A0984">
            <w:pPr>
              <w:jc w:val="right"/>
              <w:rPr>
                <w:rFonts w:ascii="Arial" w:hAnsi="Arial" w:cs="Arial"/>
                <w:b/>
                <w:sz w:val="18"/>
                <w:szCs w:val="20"/>
              </w:rPr>
            </w:pPr>
            <w:r w:rsidRPr="00750A39">
              <w:rPr>
                <w:rFonts w:ascii="Arial" w:hAnsi="Arial" w:cs="Arial"/>
                <w:b/>
                <w:sz w:val="18"/>
                <w:szCs w:val="20"/>
              </w:rPr>
              <w:t>100%</w:t>
            </w:r>
          </w:p>
        </w:tc>
        <w:tc>
          <w:tcPr>
            <w:tcW w:w="1450" w:type="dxa"/>
            <w:shd w:val="clear" w:color="auto" w:fill="auto"/>
            <w:noWrap/>
            <w:vAlign w:val="bottom"/>
            <w:hideMark/>
          </w:tcPr>
          <w:p w:rsidR="00C66A67" w:rsidRPr="00750A39" w:rsidRDefault="00C66A67" w:rsidP="003A0984">
            <w:pPr>
              <w:jc w:val="right"/>
              <w:rPr>
                <w:rFonts w:ascii="Arial" w:hAnsi="Arial" w:cs="Arial"/>
                <w:b/>
                <w:sz w:val="18"/>
                <w:szCs w:val="20"/>
              </w:rPr>
            </w:pPr>
            <w:r>
              <w:rPr>
                <w:rFonts w:ascii="Arial" w:hAnsi="Arial" w:cs="Arial"/>
                <w:b/>
                <w:sz w:val="18"/>
                <w:szCs w:val="20"/>
              </w:rPr>
              <w:t>100</w:t>
            </w:r>
            <w:r w:rsidRPr="00750A39">
              <w:rPr>
                <w:rFonts w:ascii="Arial" w:hAnsi="Arial" w:cs="Arial"/>
                <w:b/>
                <w:sz w:val="18"/>
                <w:szCs w:val="20"/>
              </w:rPr>
              <w:t>%</w:t>
            </w:r>
          </w:p>
        </w:tc>
      </w:tr>
      <w:tr w:rsidR="00C66A67" w:rsidRPr="00172B04" w:rsidTr="003F520D">
        <w:trPr>
          <w:trHeight w:val="255"/>
        </w:trPr>
        <w:tc>
          <w:tcPr>
            <w:tcW w:w="6759" w:type="dxa"/>
            <w:gridSpan w:val="4"/>
            <w:shd w:val="clear" w:color="auto" w:fill="auto"/>
            <w:noWrap/>
            <w:vAlign w:val="bottom"/>
            <w:hideMark/>
          </w:tcPr>
          <w:p w:rsidR="00C66A67" w:rsidRPr="00172B04" w:rsidRDefault="00C66A67" w:rsidP="003A0984">
            <w:pPr>
              <w:rPr>
                <w:rFonts w:ascii="Arial" w:hAnsi="Arial" w:cs="Arial"/>
                <w:sz w:val="18"/>
                <w:szCs w:val="20"/>
              </w:rPr>
            </w:pPr>
            <w:r>
              <w:rPr>
                <w:rFonts w:ascii="Arial" w:hAnsi="Arial" w:cs="Arial"/>
                <w:sz w:val="18"/>
                <w:szCs w:val="18"/>
              </w:rPr>
              <w:t xml:space="preserve">Source: </w:t>
            </w:r>
            <w:r w:rsidRPr="0043414A">
              <w:rPr>
                <w:rFonts w:ascii="Arial" w:hAnsi="Arial" w:cs="Arial"/>
                <w:sz w:val="18"/>
                <w:szCs w:val="18"/>
              </w:rPr>
              <w:t>Business Register and Employment Surve</w:t>
            </w:r>
            <w:r w:rsidRPr="00C76FEF">
              <w:rPr>
                <w:rFonts w:ascii="Arial" w:hAnsi="Arial" w:cs="Arial"/>
                <w:sz w:val="18"/>
                <w:szCs w:val="18"/>
              </w:rPr>
              <w:t>y</w:t>
            </w:r>
          </w:p>
        </w:tc>
      </w:tr>
    </w:tbl>
    <w:p w:rsidR="00C66A67" w:rsidRPr="0030284C" w:rsidRDefault="00C66A67" w:rsidP="00C66A67">
      <w:pPr>
        <w:tabs>
          <w:tab w:val="num" w:pos="860"/>
          <w:tab w:val="num" w:pos="1105"/>
        </w:tabs>
        <w:spacing w:before="120" w:after="120" w:line="288" w:lineRule="auto"/>
        <w:jc w:val="both"/>
        <w:rPr>
          <w:rFonts w:ascii="Arial" w:hAnsi="Arial" w:cs="Arial"/>
          <w:sz w:val="4"/>
          <w:szCs w:val="4"/>
        </w:rPr>
      </w:pP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295E22">
        <w:rPr>
          <w:rFonts w:cs="Arial"/>
          <w:sz w:val="18"/>
          <w:szCs w:val="18"/>
        </w:rPr>
        <w:t>The sub-geography figures mask variations in the distribution and concentration of employment at a local authority level</w:t>
      </w:r>
      <w:r>
        <w:rPr>
          <w:rFonts w:cs="Arial"/>
          <w:sz w:val="18"/>
          <w:szCs w:val="18"/>
        </w:rPr>
        <w:t xml:space="preserve"> (see chart </w:t>
      </w:r>
      <w:r w:rsidR="00FE28FE">
        <w:rPr>
          <w:rFonts w:cs="Arial"/>
          <w:sz w:val="18"/>
          <w:szCs w:val="18"/>
        </w:rPr>
        <w:t>below</w:t>
      </w:r>
      <w:r>
        <w:rPr>
          <w:rFonts w:cs="Arial"/>
          <w:sz w:val="18"/>
          <w:szCs w:val="18"/>
        </w:rPr>
        <w:t>)</w:t>
      </w:r>
      <w:r w:rsidRPr="00295E22">
        <w:rPr>
          <w:rFonts w:cs="Arial"/>
          <w:sz w:val="18"/>
          <w:szCs w:val="18"/>
        </w:rPr>
        <w:t>. For example, Blackpool is very significant for visitor economy employment, both in terms of the number of jobs and the location quotient</w:t>
      </w:r>
      <w:r w:rsidRPr="00CE35A2">
        <w:rPr>
          <w:rFonts w:cs="Arial"/>
          <w:sz w:val="18"/>
          <w:szCs w:val="18"/>
          <w:vertAlign w:val="superscript"/>
        </w:rPr>
        <w:footnoteReference w:id="27"/>
      </w:r>
      <w:r w:rsidRPr="00295E22">
        <w:rPr>
          <w:rFonts w:cs="Arial"/>
          <w:sz w:val="18"/>
          <w:szCs w:val="18"/>
        </w:rPr>
        <w:t xml:space="preserve"> (LQ) (9,700 jobs, equating to 19% of the Lancashire total, and a LQ of 2.0, i.e. double the national average).  Relatively high levels of visitor economy employment are also evident in Lancaster (5,400 jobs), Preston (5,100 jobs) and West Lancashire (4,200 jobs). Together with Blackpool, these four authorities account for nearly half of all visitor economy employment across the LEP area.  Although smaller in absolute terms, above average concentrations of visitor economy employment also exist in Wyre and the Ribble Valley.</w:t>
      </w:r>
    </w:p>
    <w:p w:rsidR="00C66A67" w:rsidRDefault="00C66A67" w:rsidP="00C66A67">
      <w:pPr>
        <w:pStyle w:val="normalnumbered"/>
        <w:tabs>
          <w:tab w:val="clear" w:pos="2666"/>
        </w:tabs>
        <w:spacing w:line="264" w:lineRule="auto"/>
        <w:ind w:left="0" w:right="40" w:firstLine="0"/>
        <w:rPr>
          <w:rFonts w:cs="Arial"/>
          <w:sz w:val="18"/>
          <w:szCs w:val="18"/>
        </w:rPr>
      </w:pPr>
    </w:p>
    <w:p w:rsidR="00C66A67" w:rsidRDefault="00C66A67" w:rsidP="00C66A67">
      <w:pPr>
        <w:pStyle w:val="normalnumbered"/>
        <w:tabs>
          <w:tab w:val="clear" w:pos="2666"/>
        </w:tabs>
        <w:spacing w:line="264" w:lineRule="auto"/>
        <w:ind w:left="0" w:right="40" w:firstLine="0"/>
        <w:rPr>
          <w:rFonts w:cs="Arial"/>
          <w:sz w:val="18"/>
          <w:szCs w:val="18"/>
        </w:rPr>
      </w:pPr>
    </w:p>
    <w:p w:rsidR="00C66A67" w:rsidRDefault="00C66A67" w:rsidP="00C66A67">
      <w:pPr>
        <w:pStyle w:val="normalnumbered"/>
        <w:tabs>
          <w:tab w:val="clear" w:pos="2666"/>
        </w:tabs>
        <w:spacing w:line="264" w:lineRule="auto"/>
        <w:ind w:left="0" w:right="40" w:firstLine="0"/>
        <w:rPr>
          <w:rFonts w:cs="Arial"/>
          <w:sz w:val="18"/>
          <w:szCs w:val="18"/>
        </w:rPr>
      </w:pPr>
    </w:p>
    <w:p w:rsidR="00C66A67" w:rsidRDefault="00C66A67" w:rsidP="00C66A67">
      <w:pPr>
        <w:pStyle w:val="normalnumbered"/>
        <w:tabs>
          <w:tab w:val="clear" w:pos="2666"/>
        </w:tabs>
        <w:spacing w:line="264" w:lineRule="auto"/>
        <w:ind w:left="0" w:right="40" w:firstLine="0"/>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tblGrid>
      <w:tr w:rsidR="00C66A67" w:rsidTr="003A0984">
        <w:tc>
          <w:tcPr>
            <w:tcW w:w="6833" w:type="dxa"/>
          </w:tcPr>
          <w:p w:rsidR="00C66A67" w:rsidRPr="00703BB4" w:rsidRDefault="00C66A67" w:rsidP="003A0984">
            <w:pPr>
              <w:rPr>
                <w:rFonts w:ascii="Arial" w:hAnsi="Arial" w:cs="Arial"/>
                <w:b/>
                <w:sz w:val="18"/>
                <w:szCs w:val="18"/>
              </w:rPr>
            </w:pPr>
            <w:r w:rsidRPr="00570B2F">
              <w:rPr>
                <w:rFonts w:ascii="Arial" w:hAnsi="Arial" w:cs="Arial"/>
                <w:b/>
                <w:sz w:val="18"/>
                <w:szCs w:val="18"/>
              </w:rPr>
              <w:lastRenderedPageBreak/>
              <w:t>Lancashire Visitor Economy Employment and Concentration (2013)</w:t>
            </w:r>
          </w:p>
          <w:p w:rsidR="00C66A67" w:rsidRDefault="00C66A67" w:rsidP="003A0984">
            <w:pPr>
              <w:jc w:val="both"/>
              <w:rPr>
                <w:rFonts w:ascii="Arial" w:hAnsi="Arial" w:cs="Arial"/>
                <w:sz w:val="20"/>
                <w:szCs w:val="20"/>
              </w:rPr>
            </w:pPr>
            <w:r w:rsidRPr="00C76FEF">
              <w:rPr>
                <w:rFonts w:ascii="Arial" w:hAnsi="Arial" w:cs="Arial"/>
                <w:noProof/>
                <w:sz w:val="20"/>
                <w:szCs w:val="20"/>
                <w:lang w:eastAsia="en-GB"/>
              </w:rPr>
              <w:drawing>
                <wp:inline distT="0" distB="0" distL="0" distR="0">
                  <wp:extent cx="4213122" cy="3581400"/>
                  <wp:effectExtent l="19050" t="19050" r="0" b="0"/>
                  <wp:docPr id="14" name="Picture 32" descr="M:\Sheffield\Lancashire Visitor Economy\Visitor economy emp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Sheffield\Lancashire Visitor Economy\Visitor economy empl.bmp"/>
                          <pic:cNvPicPr>
                            <a:picLocks noChangeAspect="1" noChangeArrowheads="1"/>
                          </pic:cNvPicPr>
                        </pic:nvPicPr>
                        <pic:blipFill>
                          <a:blip r:embed="rId13" cstate="print"/>
                          <a:srcRect/>
                          <a:stretch>
                            <a:fillRect/>
                          </a:stretch>
                        </pic:blipFill>
                        <pic:spPr bwMode="auto">
                          <a:xfrm>
                            <a:off x="0" y="0"/>
                            <a:ext cx="4211867" cy="3580333"/>
                          </a:xfrm>
                          <a:prstGeom prst="rect">
                            <a:avLst/>
                          </a:prstGeom>
                          <a:noFill/>
                          <a:ln w="12700">
                            <a:solidFill>
                              <a:schemeClr val="bg1">
                                <a:lumMod val="50000"/>
                              </a:schemeClr>
                            </a:solidFill>
                            <a:miter lim="800000"/>
                            <a:headEnd/>
                            <a:tailEnd/>
                          </a:ln>
                        </pic:spPr>
                      </pic:pic>
                    </a:graphicData>
                  </a:graphic>
                </wp:inline>
              </w:drawing>
            </w:r>
          </w:p>
          <w:p w:rsidR="00C66A67" w:rsidRPr="00C76FEF" w:rsidRDefault="003F520D" w:rsidP="003A0984">
            <w:pPr>
              <w:jc w:val="both"/>
              <w:rPr>
                <w:rFonts w:ascii="Arial" w:hAnsi="Arial" w:cs="Arial"/>
                <w:sz w:val="18"/>
                <w:szCs w:val="18"/>
              </w:rPr>
            </w:pPr>
            <w:r>
              <w:rPr>
                <w:rFonts w:ascii="Arial" w:hAnsi="Arial" w:cs="Arial"/>
                <w:sz w:val="18"/>
                <w:szCs w:val="18"/>
              </w:rPr>
              <w:t>S</w:t>
            </w:r>
            <w:r w:rsidR="00C66A67" w:rsidRPr="00C76FEF">
              <w:rPr>
                <w:rFonts w:ascii="Arial" w:hAnsi="Arial" w:cs="Arial"/>
                <w:sz w:val="18"/>
                <w:szCs w:val="18"/>
              </w:rPr>
              <w:t xml:space="preserve">ource: </w:t>
            </w:r>
            <w:r w:rsidR="00C66A67" w:rsidRPr="0043414A">
              <w:rPr>
                <w:rFonts w:ascii="Arial" w:hAnsi="Arial" w:cs="Arial"/>
                <w:sz w:val="18"/>
                <w:szCs w:val="18"/>
              </w:rPr>
              <w:t>Business Register and Employment Surve</w:t>
            </w:r>
            <w:r w:rsidR="00C66A67" w:rsidRPr="00C76FEF">
              <w:rPr>
                <w:rFonts w:ascii="Arial" w:hAnsi="Arial" w:cs="Arial"/>
                <w:sz w:val="18"/>
                <w:szCs w:val="18"/>
              </w:rPr>
              <w:t>y</w:t>
            </w:r>
          </w:p>
        </w:tc>
      </w:tr>
    </w:tbl>
    <w:p w:rsidR="00C66A67" w:rsidRPr="00B42A80" w:rsidRDefault="00C66A67" w:rsidP="00C66A67">
      <w:pPr>
        <w:tabs>
          <w:tab w:val="num" w:pos="860"/>
          <w:tab w:val="num" w:pos="1105"/>
        </w:tabs>
        <w:spacing w:before="120" w:after="120" w:line="288" w:lineRule="auto"/>
        <w:jc w:val="both"/>
        <w:rPr>
          <w:rFonts w:ascii="Arial" w:eastAsiaTheme="minorHAnsi" w:hAnsi="Arial" w:cs="Arial"/>
          <w:b/>
          <w:color w:val="660066"/>
          <w:sz w:val="4"/>
          <w:szCs w:val="4"/>
        </w:rPr>
      </w:pP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Recent Change</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295E22">
        <w:rPr>
          <w:rFonts w:cs="Arial"/>
          <w:sz w:val="18"/>
          <w:szCs w:val="18"/>
        </w:rPr>
        <w:t>Between 2009 and 2013, employment in Lancashire’s visitor economy fell by 7% (a net reduction of 3,500 jobs), while employment across the LEP area as a whole remained relatively sta</w:t>
      </w:r>
      <w:r>
        <w:rPr>
          <w:rFonts w:cs="Arial"/>
          <w:sz w:val="18"/>
          <w:szCs w:val="18"/>
        </w:rPr>
        <w:t>ble</w:t>
      </w:r>
      <w:r w:rsidRPr="00295E22">
        <w:rPr>
          <w:rFonts w:cs="Arial"/>
          <w:sz w:val="18"/>
          <w:szCs w:val="18"/>
        </w:rPr>
        <w:t xml:space="preserve">.  As shown </w:t>
      </w:r>
      <w:r>
        <w:rPr>
          <w:rFonts w:cs="Arial"/>
          <w:sz w:val="18"/>
          <w:szCs w:val="18"/>
        </w:rPr>
        <w:t xml:space="preserve">in the following chart, </w:t>
      </w:r>
      <w:r w:rsidRPr="00295E22">
        <w:rPr>
          <w:rFonts w:cs="Arial"/>
          <w:sz w:val="18"/>
          <w:szCs w:val="18"/>
        </w:rPr>
        <w:t>visitor economy employment dipped sharply between 2</w:t>
      </w:r>
      <w:r>
        <w:rPr>
          <w:rFonts w:cs="Arial"/>
          <w:sz w:val="18"/>
          <w:szCs w:val="18"/>
        </w:rPr>
        <w:t>009 and 2010 – notably more</w:t>
      </w:r>
      <w:r w:rsidRPr="00295E22">
        <w:rPr>
          <w:rFonts w:cs="Arial"/>
          <w:sz w:val="18"/>
          <w:szCs w:val="18"/>
        </w:rPr>
        <w:t xml:space="preserve"> so than across the North West region and England as a whole – and despite recovering over the next two years, remained below pre-recession levels in 2013. </w:t>
      </w:r>
      <w:r>
        <w:rPr>
          <w:rFonts w:cs="Arial"/>
          <w:sz w:val="18"/>
          <w:szCs w:val="18"/>
        </w:rPr>
        <w:t>This is in contrast to pre-recession employment levels being regained in the North West and across England.</w:t>
      </w:r>
      <w:r w:rsidRPr="00295E22">
        <w:rPr>
          <w:rFonts w:cs="Arial"/>
          <w:sz w:val="18"/>
          <w:szCs w:val="18"/>
        </w:rPr>
        <w:t xml:space="preserve"> </w:t>
      </w:r>
      <w:r w:rsidR="00D3608D">
        <w:rPr>
          <w:rFonts w:cs="Arial"/>
          <w:sz w:val="18"/>
          <w:szCs w:val="18"/>
        </w:rPr>
        <w:t xml:space="preserve"> Of some concern is the reduction in visitor economy employment in Lancashire between 2012 and 2013 – a time when employment in the sector </w:t>
      </w:r>
      <w:r w:rsidR="007F79CC">
        <w:rPr>
          <w:rFonts w:cs="Arial"/>
          <w:sz w:val="18"/>
          <w:szCs w:val="18"/>
        </w:rPr>
        <w:t xml:space="preserve">nationally </w:t>
      </w:r>
      <w:r w:rsidR="00D3608D">
        <w:rPr>
          <w:rFonts w:cs="Arial"/>
          <w:sz w:val="18"/>
          <w:szCs w:val="18"/>
        </w:rPr>
        <w:t>showed a marked increase.</w:t>
      </w:r>
    </w:p>
    <w:p w:rsidR="00C66A67" w:rsidRPr="0004535D" w:rsidRDefault="00C66A67" w:rsidP="00C66A67">
      <w:pPr>
        <w:tabs>
          <w:tab w:val="num" w:pos="860"/>
          <w:tab w:val="num" w:pos="1105"/>
        </w:tabs>
        <w:jc w:val="both"/>
        <w:rPr>
          <w:rFonts w:ascii="Arial" w:hAnsi="Arial" w:cs="Arial"/>
          <w:b/>
          <w:sz w:val="20"/>
          <w:szCs w:val="20"/>
        </w:rPr>
      </w:pPr>
      <w:r>
        <w:rPr>
          <w:rFonts w:ascii="Arial" w:hAnsi="Arial" w:cs="Arial"/>
          <w:b/>
          <w:sz w:val="18"/>
          <w:szCs w:val="18"/>
        </w:rPr>
        <w:lastRenderedPageBreak/>
        <w:t xml:space="preserve"> </w:t>
      </w:r>
      <w:r w:rsidRPr="00F51B72">
        <w:rPr>
          <w:rFonts w:ascii="Arial" w:hAnsi="Arial" w:cs="Arial"/>
          <w:b/>
          <w:sz w:val="18"/>
          <w:szCs w:val="18"/>
        </w:rPr>
        <w:t>Visitor Economy Employment Change 2009-2013</w:t>
      </w:r>
      <w:r>
        <w:rPr>
          <w:rStyle w:val="FootnoteReference"/>
          <w:rFonts w:ascii="Arial" w:hAnsi="Arial"/>
          <w:b/>
          <w:sz w:val="20"/>
          <w:szCs w:val="20"/>
        </w:rPr>
        <w:footnoteReference w:id="28"/>
      </w:r>
    </w:p>
    <w:p w:rsidR="00C66A67" w:rsidRDefault="00C66A67" w:rsidP="00C66A67">
      <w:pPr>
        <w:tabs>
          <w:tab w:val="num" w:pos="860"/>
          <w:tab w:val="num" w:pos="1105"/>
        </w:tabs>
        <w:jc w:val="both"/>
        <w:rPr>
          <w:rFonts w:ascii="Arial" w:hAnsi="Arial" w:cs="Arial"/>
          <w:sz w:val="20"/>
          <w:szCs w:val="20"/>
        </w:rPr>
      </w:pPr>
      <w:r w:rsidRPr="00172B04">
        <w:rPr>
          <w:noProof/>
          <w:szCs w:val="20"/>
          <w:lang w:eastAsia="en-GB"/>
        </w:rPr>
        <w:drawing>
          <wp:inline distT="0" distB="0" distL="0" distR="0">
            <wp:extent cx="3943847" cy="2372854"/>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948345" cy="2375560"/>
                    </a:xfrm>
                    <a:prstGeom prst="rect">
                      <a:avLst/>
                    </a:prstGeom>
                    <a:noFill/>
                    <a:ln w="9525">
                      <a:noFill/>
                      <a:miter lim="800000"/>
                      <a:headEnd/>
                      <a:tailEnd/>
                    </a:ln>
                  </pic:spPr>
                </pic:pic>
              </a:graphicData>
            </a:graphic>
          </wp:inline>
        </w:drawing>
      </w:r>
    </w:p>
    <w:p w:rsidR="00C66A67" w:rsidRPr="0004535D" w:rsidRDefault="00C66A67" w:rsidP="00C66A67">
      <w:pPr>
        <w:tabs>
          <w:tab w:val="num" w:pos="860"/>
          <w:tab w:val="num" w:pos="1105"/>
        </w:tabs>
        <w:jc w:val="both"/>
        <w:rPr>
          <w:rFonts w:ascii="Arial" w:hAnsi="Arial" w:cs="Arial"/>
          <w:sz w:val="16"/>
          <w:szCs w:val="16"/>
        </w:rPr>
      </w:pPr>
      <w:r w:rsidRPr="0004535D">
        <w:rPr>
          <w:rFonts w:ascii="Arial" w:hAnsi="Arial" w:cs="Arial"/>
          <w:sz w:val="16"/>
          <w:szCs w:val="16"/>
        </w:rPr>
        <w:t>Source: Business Register and Employer Survey</w:t>
      </w:r>
    </w:p>
    <w:p w:rsidR="00C66A67" w:rsidRPr="00F57C4C" w:rsidRDefault="00C66A67" w:rsidP="00C66A67">
      <w:pPr>
        <w:tabs>
          <w:tab w:val="num" w:pos="860"/>
          <w:tab w:val="num" w:pos="1105"/>
        </w:tabs>
        <w:spacing w:before="120" w:after="240" w:line="288" w:lineRule="auto"/>
        <w:jc w:val="both"/>
        <w:rPr>
          <w:rFonts w:ascii="Arial" w:hAnsi="Arial" w:cs="Arial"/>
          <w:noProof/>
          <w:sz w:val="2"/>
          <w:szCs w:val="2"/>
        </w:rPr>
      </w:pPr>
    </w:p>
    <w:p w:rsidR="007F79CC" w:rsidRDefault="007F79CC" w:rsidP="007F79CC">
      <w:pPr>
        <w:pStyle w:val="normalnumbered"/>
        <w:numPr>
          <w:ilvl w:val="1"/>
          <w:numId w:val="1"/>
        </w:numPr>
        <w:tabs>
          <w:tab w:val="clear" w:pos="2666"/>
          <w:tab w:val="num" w:pos="709"/>
          <w:tab w:val="num" w:pos="2240"/>
        </w:tabs>
        <w:spacing w:line="264" w:lineRule="auto"/>
        <w:ind w:left="0" w:right="40" w:firstLine="0"/>
        <w:rPr>
          <w:rFonts w:cs="Arial"/>
          <w:sz w:val="18"/>
          <w:szCs w:val="18"/>
        </w:rPr>
      </w:pPr>
      <w:r>
        <w:rPr>
          <w:rFonts w:cs="Arial"/>
          <w:sz w:val="18"/>
          <w:szCs w:val="18"/>
        </w:rPr>
        <w:t xml:space="preserve">Whilst there has been a reduction in visitor </w:t>
      </w:r>
      <w:r w:rsidR="00C66A67" w:rsidRPr="00295E22">
        <w:rPr>
          <w:rFonts w:cs="Arial"/>
          <w:sz w:val="18"/>
          <w:szCs w:val="18"/>
        </w:rPr>
        <w:t>economy job numbers at LEP level,</w:t>
      </w:r>
      <w:r>
        <w:rPr>
          <w:rFonts w:cs="Arial"/>
          <w:sz w:val="18"/>
          <w:szCs w:val="18"/>
        </w:rPr>
        <w:t xml:space="preserve"> the picture at sub-geography and local authority level is more mixed.  As shown in the charts on the following page (the first of which shows employment change between 2009 and 2013 by sub-geography and the second by local authority): </w:t>
      </w:r>
    </w:p>
    <w:p w:rsidR="007F79CC" w:rsidRPr="007F79CC" w:rsidRDefault="007F79CC" w:rsidP="007F79CC">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T</w:t>
      </w:r>
      <w:r w:rsidR="00C66A67" w:rsidRPr="007F79CC">
        <w:rPr>
          <w:rFonts w:ascii="Arial" w:hAnsi="Arial" w:cs="Arial"/>
          <w:sz w:val="18"/>
          <w:szCs w:val="18"/>
        </w:rPr>
        <w:t xml:space="preserve">wo of the five sub-geographies – West Lancashire and Lancaster – experienced net employment growth between 2009 and 2013. </w:t>
      </w:r>
      <w:r>
        <w:rPr>
          <w:rFonts w:ascii="Arial" w:hAnsi="Arial" w:cs="Arial"/>
          <w:sz w:val="18"/>
          <w:szCs w:val="18"/>
        </w:rPr>
        <w:t xml:space="preserve"> In proportionate terms the growth in West Lancashire was large – the visitor economy workforce increased by a fifth over a four year period.    </w:t>
      </w:r>
    </w:p>
    <w:p w:rsidR="00C66A67" w:rsidRDefault="007F79CC" w:rsidP="007F79CC">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S</w:t>
      </w:r>
      <w:r w:rsidR="00C66A67" w:rsidRPr="007F79CC">
        <w:rPr>
          <w:rFonts w:ascii="Arial" w:hAnsi="Arial" w:cs="Arial"/>
          <w:sz w:val="18"/>
          <w:szCs w:val="18"/>
        </w:rPr>
        <w:t xml:space="preserve">even local authorities experienced a net loss of 10% or more, with Rossendale, Preston and Hyndburn badly affected in relative terms.  </w:t>
      </w:r>
    </w:p>
    <w:p w:rsidR="007F79CC" w:rsidRPr="004C651F" w:rsidRDefault="004C651F" w:rsidP="004C651F">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 xml:space="preserve">The reduction was less substantial in Blackpool, although in Wyre – a neighbouring authority – 10% of visitor economy jobs were lost. </w:t>
      </w:r>
    </w:p>
    <w:tbl>
      <w:tblPr>
        <w:tblStyle w:val="TableGrid"/>
        <w:tblW w:w="10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236"/>
      </w:tblGrid>
      <w:tr w:rsidR="00C66A67" w:rsidTr="003A0984">
        <w:tc>
          <w:tcPr>
            <w:tcW w:w="6629" w:type="dxa"/>
          </w:tcPr>
          <w:p w:rsidR="00C66A67" w:rsidRDefault="00C66A67" w:rsidP="003A0984">
            <w:pPr>
              <w:tabs>
                <w:tab w:val="num" w:pos="860"/>
                <w:tab w:val="num" w:pos="1105"/>
              </w:tabs>
              <w:rPr>
                <w:rFonts w:ascii="Arial" w:hAnsi="Arial" w:cs="Arial"/>
                <w:b/>
                <w:sz w:val="18"/>
                <w:szCs w:val="18"/>
              </w:rPr>
            </w:pPr>
          </w:p>
          <w:p w:rsidR="00C66A67" w:rsidRPr="006E283D" w:rsidRDefault="00C66A67" w:rsidP="003A0984">
            <w:pPr>
              <w:tabs>
                <w:tab w:val="num" w:pos="860"/>
                <w:tab w:val="num" w:pos="1105"/>
              </w:tabs>
              <w:rPr>
                <w:rFonts w:ascii="Arial" w:hAnsi="Arial" w:cs="Arial"/>
                <w:b/>
                <w:sz w:val="18"/>
                <w:szCs w:val="18"/>
              </w:rPr>
            </w:pPr>
            <w:r w:rsidRPr="006E283D">
              <w:rPr>
                <w:rFonts w:ascii="Arial" w:hAnsi="Arial" w:cs="Arial"/>
                <w:b/>
                <w:sz w:val="18"/>
                <w:szCs w:val="18"/>
              </w:rPr>
              <w:lastRenderedPageBreak/>
              <w:t>Visitor Economy Employment Change by Sub-</w:t>
            </w:r>
            <w:r>
              <w:rPr>
                <w:rFonts w:ascii="Arial" w:hAnsi="Arial" w:cs="Arial"/>
                <w:b/>
                <w:sz w:val="18"/>
                <w:szCs w:val="18"/>
              </w:rPr>
              <w:t>Geography</w:t>
            </w:r>
            <w:r w:rsidRPr="006E283D">
              <w:rPr>
                <w:rFonts w:ascii="Arial" w:hAnsi="Arial" w:cs="Arial"/>
                <w:b/>
                <w:sz w:val="18"/>
                <w:szCs w:val="18"/>
              </w:rPr>
              <w:t xml:space="preserve"> 2009-2013</w:t>
            </w:r>
          </w:p>
          <w:p w:rsidR="00C66A67" w:rsidRPr="006E283D" w:rsidRDefault="00C66A67" w:rsidP="003A0984">
            <w:pPr>
              <w:tabs>
                <w:tab w:val="num" w:pos="860"/>
                <w:tab w:val="num" w:pos="1105"/>
              </w:tabs>
              <w:jc w:val="both"/>
              <w:rPr>
                <w:rFonts w:ascii="Arial" w:hAnsi="Arial" w:cs="Arial"/>
                <w:noProof/>
                <w:sz w:val="18"/>
                <w:szCs w:val="18"/>
              </w:rPr>
            </w:pPr>
            <w:r w:rsidRPr="006E283D">
              <w:rPr>
                <w:rFonts w:ascii="Arial" w:hAnsi="Arial" w:cs="Arial"/>
                <w:noProof/>
                <w:sz w:val="18"/>
                <w:szCs w:val="18"/>
                <w:lang w:eastAsia="en-GB"/>
              </w:rPr>
              <w:drawing>
                <wp:inline distT="0" distB="0" distL="0" distR="0">
                  <wp:extent cx="3670300" cy="4163266"/>
                  <wp:effectExtent l="19050" t="19050" r="6350" b="8890"/>
                  <wp:docPr id="16" name="Picture 2" descr="M:\Sheffield\Lancashire Visitor Economy\Empl chan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effield\Lancashire Visitor Economy\Empl change.bmp"/>
                          <pic:cNvPicPr>
                            <a:picLocks noChangeAspect="1" noChangeArrowheads="1"/>
                          </pic:cNvPicPr>
                        </pic:nvPicPr>
                        <pic:blipFill>
                          <a:blip r:embed="rId15" cstate="print"/>
                          <a:srcRect l="7416" r="17610"/>
                          <a:stretch>
                            <a:fillRect/>
                          </a:stretch>
                        </pic:blipFill>
                        <pic:spPr bwMode="auto">
                          <a:xfrm>
                            <a:off x="0" y="0"/>
                            <a:ext cx="3682972" cy="4177640"/>
                          </a:xfrm>
                          <a:prstGeom prst="rect">
                            <a:avLst/>
                          </a:prstGeom>
                          <a:noFill/>
                          <a:ln w="12700">
                            <a:solidFill>
                              <a:schemeClr val="bg1">
                                <a:lumMod val="50000"/>
                              </a:schemeClr>
                            </a:solidFill>
                            <a:miter lim="800000"/>
                            <a:headEnd/>
                            <a:tailEnd/>
                          </a:ln>
                        </pic:spPr>
                      </pic:pic>
                    </a:graphicData>
                  </a:graphic>
                </wp:inline>
              </w:drawing>
            </w:r>
          </w:p>
          <w:p w:rsidR="00C66A67" w:rsidRPr="00B42A80" w:rsidRDefault="00C66A67" w:rsidP="003A0984">
            <w:pPr>
              <w:tabs>
                <w:tab w:val="num" w:pos="860"/>
                <w:tab w:val="num" w:pos="1105"/>
              </w:tabs>
              <w:jc w:val="both"/>
              <w:rPr>
                <w:rFonts w:ascii="Arial" w:hAnsi="Arial" w:cs="Arial"/>
                <w:sz w:val="4"/>
                <w:szCs w:val="4"/>
              </w:rPr>
            </w:pPr>
          </w:p>
          <w:p w:rsidR="00C66A67" w:rsidRPr="006E283D" w:rsidRDefault="00C66A67" w:rsidP="003A0984">
            <w:pPr>
              <w:tabs>
                <w:tab w:val="num" w:pos="860"/>
                <w:tab w:val="num" w:pos="1105"/>
              </w:tabs>
              <w:jc w:val="both"/>
              <w:rPr>
                <w:rFonts w:ascii="Arial" w:hAnsi="Arial" w:cs="Arial"/>
                <w:sz w:val="18"/>
                <w:szCs w:val="18"/>
              </w:rPr>
            </w:pPr>
            <w:r w:rsidRPr="006E283D">
              <w:rPr>
                <w:rFonts w:ascii="Arial" w:hAnsi="Arial" w:cs="Arial"/>
                <w:sz w:val="18"/>
                <w:szCs w:val="18"/>
              </w:rPr>
              <w:t>Source: Business Register and Employer Survey</w:t>
            </w:r>
          </w:p>
        </w:tc>
        <w:tc>
          <w:tcPr>
            <w:tcW w:w="4236" w:type="dxa"/>
          </w:tcPr>
          <w:p w:rsidR="00C66A67" w:rsidRDefault="00C66A67" w:rsidP="003A0984">
            <w:pPr>
              <w:tabs>
                <w:tab w:val="num" w:pos="860"/>
                <w:tab w:val="num" w:pos="1105"/>
              </w:tabs>
              <w:jc w:val="both"/>
              <w:rPr>
                <w:rFonts w:ascii="Arial" w:hAnsi="Arial" w:cs="Arial"/>
                <w:b/>
                <w:sz w:val="18"/>
                <w:szCs w:val="18"/>
              </w:rPr>
            </w:pPr>
          </w:p>
          <w:p w:rsidR="00C66A67" w:rsidRDefault="00C66A67" w:rsidP="003A0984">
            <w:pPr>
              <w:tabs>
                <w:tab w:val="num" w:pos="860"/>
                <w:tab w:val="num" w:pos="1105"/>
              </w:tabs>
              <w:jc w:val="both"/>
              <w:rPr>
                <w:rFonts w:ascii="Arial" w:hAnsi="Arial" w:cs="Arial"/>
                <w:b/>
                <w:sz w:val="18"/>
                <w:szCs w:val="18"/>
              </w:rPr>
            </w:pPr>
          </w:p>
          <w:p w:rsidR="00C66A67" w:rsidRDefault="00C66A67" w:rsidP="003A0984">
            <w:pPr>
              <w:tabs>
                <w:tab w:val="num" w:pos="860"/>
                <w:tab w:val="num" w:pos="1105"/>
              </w:tabs>
              <w:jc w:val="both"/>
              <w:rPr>
                <w:rFonts w:ascii="Arial" w:hAnsi="Arial" w:cs="Arial"/>
                <w:b/>
                <w:sz w:val="18"/>
                <w:szCs w:val="18"/>
              </w:rPr>
            </w:pPr>
          </w:p>
          <w:p w:rsidR="00C66A67" w:rsidRPr="006E283D" w:rsidRDefault="00C66A67" w:rsidP="003A0984">
            <w:pPr>
              <w:tabs>
                <w:tab w:val="num" w:pos="860"/>
                <w:tab w:val="num" w:pos="1105"/>
              </w:tabs>
              <w:jc w:val="both"/>
              <w:rPr>
                <w:rFonts w:ascii="Arial" w:hAnsi="Arial" w:cs="Arial"/>
                <w:b/>
                <w:sz w:val="18"/>
                <w:szCs w:val="18"/>
              </w:rPr>
            </w:pPr>
          </w:p>
          <w:p w:rsidR="00C66A67" w:rsidRPr="006E283D" w:rsidRDefault="00C66A67" w:rsidP="003A0984">
            <w:pPr>
              <w:tabs>
                <w:tab w:val="num" w:pos="860"/>
                <w:tab w:val="num" w:pos="1105"/>
              </w:tabs>
              <w:jc w:val="both"/>
              <w:rPr>
                <w:rFonts w:ascii="Arial" w:hAnsi="Arial" w:cs="Arial"/>
                <w:b/>
                <w:sz w:val="18"/>
                <w:szCs w:val="18"/>
              </w:rPr>
            </w:pPr>
          </w:p>
        </w:tc>
      </w:tr>
    </w:tbl>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Default="00C66A67" w:rsidP="00C66A67">
      <w:pPr>
        <w:tabs>
          <w:tab w:val="num" w:pos="860"/>
          <w:tab w:val="num" w:pos="1105"/>
        </w:tabs>
        <w:jc w:val="both"/>
        <w:rPr>
          <w:rFonts w:ascii="Arial" w:hAnsi="Arial" w:cs="Arial"/>
          <w:b/>
          <w:sz w:val="18"/>
          <w:szCs w:val="18"/>
        </w:rPr>
      </w:pPr>
    </w:p>
    <w:p w:rsidR="00C66A67" w:rsidRPr="006E283D" w:rsidRDefault="00C66A67" w:rsidP="00C66A67">
      <w:pPr>
        <w:tabs>
          <w:tab w:val="num" w:pos="860"/>
          <w:tab w:val="num" w:pos="1105"/>
        </w:tabs>
        <w:jc w:val="both"/>
        <w:rPr>
          <w:rFonts w:ascii="Arial" w:hAnsi="Arial" w:cs="Arial"/>
          <w:b/>
          <w:sz w:val="18"/>
          <w:szCs w:val="18"/>
        </w:rPr>
      </w:pPr>
      <w:r>
        <w:rPr>
          <w:rFonts w:ascii="Arial" w:hAnsi="Arial" w:cs="Arial"/>
          <w:b/>
          <w:sz w:val="18"/>
          <w:szCs w:val="18"/>
        </w:rPr>
        <w:lastRenderedPageBreak/>
        <w:t>V</w:t>
      </w:r>
      <w:r w:rsidRPr="006E283D">
        <w:rPr>
          <w:rFonts w:ascii="Arial" w:hAnsi="Arial" w:cs="Arial"/>
          <w:b/>
          <w:sz w:val="18"/>
          <w:szCs w:val="18"/>
        </w:rPr>
        <w:t xml:space="preserve">isitor </w:t>
      </w:r>
      <w:r>
        <w:rPr>
          <w:rFonts w:ascii="Arial" w:hAnsi="Arial" w:cs="Arial"/>
          <w:b/>
          <w:sz w:val="18"/>
          <w:szCs w:val="18"/>
        </w:rPr>
        <w:t>Economy Employment Change by Local A</w:t>
      </w:r>
      <w:r w:rsidRPr="006E283D">
        <w:rPr>
          <w:rFonts w:ascii="Arial" w:hAnsi="Arial" w:cs="Arial"/>
          <w:b/>
          <w:sz w:val="18"/>
          <w:szCs w:val="18"/>
        </w:rPr>
        <w:t>uthority 2009-2013</w:t>
      </w: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r w:rsidRPr="00CE35A2">
        <w:rPr>
          <w:rFonts w:ascii="Arial" w:eastAsiaTheme="minorHAnsi" w:hAnsi="Arial" w:cs="Arial"/>
          <w:b/>
          <w:noProof/>
          <w:color w:val="660066"/>
          <w:sz w:val="20"/>
          <w:szCs w:val="20"/>
          <w:lang w:eastAsia="en-GB"/>
        </w:rPr>
        <w:drawing>
          <wp:anchor distT="0" distB="0" distL="114300" distR="114300" simplePos="0" relativeHeight="251655168" behindDoc="0" locked="0" layoutInCell="1" allowOverlap="1">
            <wp:simplePos x="0" y="0"/>
            <wp:positionH relativeFrom="column">
              <wp:posOffset>0</wp:posOffset>
            </wp:positionH>
            <wp:positionV relativeFrom="paragraph">
              <wp:posOffset>18415</wp:posOffset>
            </wp:positionV>
            <wp:extent cx="3594100" cy="4128503"/>
            <wp:effectExtent l="19050" t="19050" r="6350" b="5715"/>
            <wp:wrapNone/>
            <wp:docPr id="17" name="Picture 5" descr="M:\Sheffield\Lancashire Visitor Economy\Empl change L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effield\Lancashire Visitor Economy\Empl change LAs.bmp"/>
                    <pic:cNvPicPr>
                      <a:picLocks noChangeAspect="1" noChangeArrowheads="1"/>
                    </pic:cNvPicPr>
                  </pic:nvPicPr>
                  <pic:blipFill>
                    <a:blip r:embed="rId16" cstate="print">
                      <a:extLst>
                        <a:ext uri="{28A0092B-C50C-407E-A947-70E740481C1C}">
                          <a14:useLocalDpi xmlns:a14="http://schemas.microsoft.com/office/drawing/2010/main" val="0"/>
                        </a:ext>
                      </a:extLst>
                    </a:blip>
                    <a:srcRect l="11037" r="15036"/>
                    <a:stretch>
                      <a:fillRect/>
                    </a:stretch>
                  </pic:blipFill>
                  <pic:spPr bwMode="auto">
                    <a:xfrm>
                      <a:off x="0" y="0"/>
                      <a:ext cx="3594100" cy="4128503"/>
                    </a:xfrm>
                    <a:prstGeom prst="rect">
                      <a:avLst/>
                    </a:prstGeom>
                    <a:noFill/>
                    <a:ln w="12700">
                      <a:solidFill>
                        <a:schemeClr val="bg1">
                          <a:lumMod val="50000"/>
                        </a:schemeClr>
                      </a:solidFill>
                      <a:miter lim="800000"/>
                      <a:headEnd/>
                      <a:tailEnd/>
                    </a:ln>
                  </pic:spPr>
                </pic:pic>
              </a:graphicData>
            </a:graphic>
          </wp:anchor>
        </w:drawing>
      </w: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Default="00C66A67" w:rsidP="00C66A67">
      <w:pPr>
        <w:tabs>
          <w:tab w:val="num" w:pos="860"/>
          <w:tab w:val="num" w:pos="1105"/>
        </w:tabs>
        <w:spacing w:before="120" w:after="120" w:line="288" w:lineRule="auto"/>
        <w:jc w:val="both"/>
        <w:rPr>
          <w:rFonts w:ascii="Arial" w:eastAsiaTheme="minorHAnsi" w:hAnsi="Arial" w:cs="Arial"/>
          <w:b/>
          <w:noProof/>
          <w:color w:val="660066"/>
          <w:sz w:val="20"/>
          <w:szCs w:val="20"/>
          <w:lang w:eastAsia="en-GB"/>
        </w:rPr>
      </w:pPr>
    </w:p>
    <w:p w:rsidR="00C66A67" w:rsidRPr="00B42A80" w:rsidRDefault="00C66A67" w:rsidP="00C66A67">
      <w:pPr>
        <w:tabs>
          <w:tab w:val="num" w:pos="860"/>
          <w:tab w:val="num" w:pos="1105"/>
        </w:tabs>
        <w:spacing w:before="120" w:after="120" w:line="288" w:lineRule="auto"/>
        <w:jc w:val="both"/>
        <w:rPr>
          <w:rFonts w:ascii="Arial" w:hAnsi="Arial" w:cs="Arial"/>
          <w:sz w:val="2"/>
          <w:szCs w:val="2"/>
        </w:rPr>
      </w:pPr>
    </w:p>
    <w:p w:rsidR="00C66A67" w:rsidRDefault="00C66A67" w:rsidP="00C66A67">
      <w:pPr>
        <w:tabs>
          <w:tab w:val="num" w:pos="860"/>
          <w:tab w:val="num" w:pos="1105"/>
        </w:tabs>
        <w:spacing w:before="120" w:after="120" w:line="288" w:lineRule="auto"/>
        <w:jc w:val="both"/>
        <w:rPr>
          <w:rFonts w:ascii="Arial" w:eastAsiaTheme="minorHAnsi" w:hAnsi="Arial" w:cs="Arial"/>
          <w:b/>
          <w:color w:val="660066"/>
          <w:sz w:val="20"/>
          <w:szCs w:val="20"/>
        </w:rPr>
      </w:pPr>
      <w:r w:rsidRPr="006E283D">
        <w:rPr>
          <w:rFonts w:ascii="Arial" w:hAnsi="Arial" w:cs="Arial"/>
          <w:sz w:val="18"/>
          <w:szCs w:val="18"/>
        </w:rPr>
        <w:t>Source: Business Register and Employer Survey</w:t>
      </w:r>
    </w:p>
    <w:p w:rsidR="00C66A67" w:rsidRDefault="00C66A67" w:rsidP="00C66A67">
      <w:pPr>
        <w:tabs>
          <w:tab w:val="num" w:pos="860"/>
          <w:tab w:val="num" w:pos="1105"/>
        </w:tabs>
        <w:spacing w:before="120" w:after="120" w:line="288" w:lineRule="auto"/>
        <w:jc w:val="both"/>
        <w:rPr>
          <w:rFonts w:ascii="Arial" w:eastAsiaTheme="minorHAnsi" w:hAnsi="Arial" w:cs="Arial"/>
          <w:b/>
          <w:color w:val="660066"/>
          <w:sz w:val="20"/>
          <w:szCs w:val="20"/>
        </w:rPr>
      </w:pPr>
    </w:p>
    <w:p w:rsidR="00C66A67" w:rsidRDefault="00C66A67" w:rsidP="00C66A67">
      <w:pPr>
        <w:tabs>
          <w:tab w:val="num" w:pos="860"/>
          <w:tab w:val="num" w:pos="1105"/>
        </w:tabs>
        <w:spacing w:before="120" w:after="120" w:line="288" w:lineRule="auto"/>
        <w:jc w:val="both"/>
        <w:rPr>
          <w:rFonts w:ascii="Arial" w:eastAsiaTheme="minorHAnsi" w:hAnsi="Arial" w:cs="Arial"/>
          <w:b/>
          <w:color w:val="660066"/>
          <w:sz w:val="20"/>
          <w:szCs w:val="20"/>
        </w:rPr>
      </w:pPr>
    </w:p>
    <w:p w:rsidR="003F520D" w:rsidRDefault="003F520D" w:rsidP="00C66A67">
      <w:pPr>
        <w:tabs>
          <w:tab w:val="num" w:pos="860"/>
          <w:tab w:val="num" w:pos="1105"/>
        </w:tabs>
        <w:spacing w:before="120" w:after="120" w:line="288" w:lineRule="auto"/>
        <w:jc w:val="both"/>
        <w:rPr>
          <w:rFonts w:ascii="Arial" w:eastAsiaTheme="minorHAnsi" w:hAnsi="Arial" w:cs="Arial"/>
          <w:b/>
          <w:color w:val="660066"/>
          <w:sz w:val="20"/>
          <w:szCs w:val="20"/>
        </w:rPr>
      </w:pPr>
    </w:p>
    <w:p w:rsidR="003F520D" w:rsidRDefault="003F520D" w:rsidP="00C66A67">
      <w:pPr>
        <w:tabs>
          <w:tab w:val="num" w:pos="860"/>
          <w:tab w:val="num" w:pos="1105"/>
        </w:tabs>
        <w:spacing w:before="120" w:after="120" w:line="288" w:lineRule="auto"/>
        <w:jc w:val="both"/>
        <w:rPr>
          <w:rFonts w:ascii="Arial" w:eastAsiaTheme="minorHAnsi" w:hAnsi="Arial" w:cs="Arial"/>
          <w:b/>
          <w:color w:val="660066"/>
          <w:sz w:val="20"/>
          <w:szCs w:val="20"/>
        </w:rPr>
      </w:pPr>
    </w:p>
    <w:p w:rsidR="00C66A67" w:rsidRDefault="00C66A67" w:rsidP="00C66A67">
      <w:pPr>
        <w:tabs>
          <w:tab w:val="num" w:pos="860"/>
          <w:tab w:val="num" w:pos="1105"/>
        </w:tabs>
        <w:spacing w:before="120" w:after="120" w:line="288" w:lineRule="auto"/>
        <w:jc w:val="both"/>
        <w:rPr>
          <w:rFonts w:ascii="Arial" w:eastAsiaTheme="minorHAnsi" w:hAnsi="Arial" w:cs="Arial"/>
          <w:b/>
          <w:color w:val="660066"/>
          <w:sz w:val="20"/>
          <w:szCs w:val="20"/>
        </w:rPr>
      </w:pPr>
    </w:p>
    <w:p w:rsidR="00C66A67" w:rsidRPr="009232EA" w:rsidRDefault="004C651F"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lastRenderedPageBreak/>
        <w:t>E</w:t>
      </w:r>
      <w:r w:rsidR="00C66A67" w:rsidRPr="009232EA">
        <w:rPr>
          <w:rFonts w:ascii="Arial" w:hAnsi="Arial" w:cs="Arial"/>
          <w:b/>
          <w:i/>
          <w:color w:val="6C2768"/>
          <w:sz w:val="20"/>
          <w:szCs w:val="20"/>
          <w:lang w:eastAsia="en-GB"/>
        </w:rPr>
        <w:t>mployment by Sub-Sector</w:t>
      </w:r>
    </w:p>
    <w:p w:rsidR="00C66A67" w:rsidRPr="00295E22"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295E22">
        <w:rPr>
          <w:rFonts w:cs="Arial"/>
          <w:sz w:val="18"/>
          <w:szCs w:val="18"/>
        </w:rPr>
        <w:t xml:space="preserve">The food and drink services sub-sector is the largest employer in Lancashire’s visitor economy, followed by accommodation and sports and recreation. Together these three sub-sectors account for 92% of all visitor economy employment across the LEP area.   </w:t>
      </w:r>
    </w:p>
    <w:tbl>
      <w:tblPr>
        <w:tblW w:w="477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28"/>
        <w:gridCol w:w="1434"/>
        <w:gridCol w:w="1559"/>
      </w:tblGrid>
      <w:tr w:rsidR="00C66A67" w:rsidRPr="007E609B" w:rsidTr="003F520D">
        <w:trPr>
          <w:trHeight w:val="291"/>
        </w:trPr>
        <w:tc>
          <w:tcPr>
            <w:tcW w:w="5000" w:type="pct"/>
            <w:gridSpan w:val="3"/>
            <w:shd w:val="clear" w:color="auto" w:fill="660066"/>
            <w:vAlign w:val="center"/>
          </w:tcPr>
          <w:p w:rsidR="00C66A67" w:rsidRPr="007E609B" w:rsidRDefault="00C66A67" w:rsidP="003A0984">
            <w:pPr>
              <w:rPr>
                <w:rFonts w:ascii="Arial" w:hAnsi="Arial" w:cs="Arial"/>
                <w:sz w:val="18"/>
                <w:szCs w:val="18"/>
              </w:rPr>
            </w:pPr>
            <w:r>
              <w:rPr>
                <w:rFonts w:ascii="Arial" w:hAnsi="Arial" w:cs="Arial"/>
                <w:b/>
                <w:color w:val="FFFFFF" w:themeColor="background1"/>
                <w:sz w:val="18"/>
                <w:szCs w:val="18"/>
              </w:rPr>
              <w:t xml:space="preserve">Lancashire </w:t>
            </w:r>
            <w:r w:rsidRPr="0069692A">
              <w:rPr>
                <w:rFonts w:ascii="Arial" w:hAnsi="Arial" w:cs="Arial"/>
                <w:b/>
                <w:color w:val="FFFFFF" w:themeColor="background1"/>
                <w:sz w:val="18"/>
                <w:szCs w:val="18"/>
              </w:rPr>
              <w:t xml:space="preserve">Visitor Economy Employment </w:t>
            </w:r>
            <w:r>
              <w:rPr>
                <w:rFonts w:ascii="Arial" w:hAnsi="Arial" w:cs="Arial"/>
                <w:b/>
                <w:color w:val="FFFFFF" w:themeColor="background1"/>
                <w:sz w:val="18"/>
                <w:szCs w:val="18"/>
              </w:rPr>
              <w:t>by Broad Sub-Sector (2013)</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jc w:val="center"/>
              <w:rPr>
                <w:rFonts w:ascii="Arial" w:hAnsi="Arial" w:cs="Arial"/>
                <w:sz w:val="18"/>
                <w:szCs w:val="18"/>
              </w:rPr>
            </w:pPr>
          </w:p>
        </w:tc>
        <w:tc>
          <w:tcPr>
            <w:tcW w:w="1100" w:type="pct"/>
            <w:shd w:val="clear" w:color="auto" w:fill="auto"/>
            <w:noWrap/>
            <w:vAlign w:val="center"/>
            <w:hideMark/>
          </w:tcPr>
          <w:p w:rsidR="00C66A67" w:rsidRPr="00483AB2" w:rsidRDefault="00C66A67" w:rsidP="003A0984">
            <w:pPr>
              <w:jc w:val="right"/>
              <w:rPr>
                <w:rFonts w:ascii="Arial" w:hAnsi="Arial" w:cs="Arial"/>
                <w:b/>
                <w:sz w:val="18"/>
                <w:szCs w:val="18"/>
              </w:rPr>
            </w:pPr>
            <w:r w:rsidRPr="00483AB2">
              <w:rPr>
                <w:rFonts w:ascii="Arial" w:hAnsi="Arial" w:cs="Arial"/>
                <w:b/>
                <w:sz w:val="18"/>
                <w:szCs w:val="18"/>
              </w:rPr>
              <w:t>Employment</w:t>
            </w:r>
          </w:p>
        </w:tc>
        <w:tc>
          <w:tcPr>
            <w:tcW w:w="1195" w:type="pct"/>
            <w:vAlign w:val="center"/>
          </w:tcPr>
          <w:p w:rsidR="00C66A67" w:rsidRPr="00483AB2" w:rsidRDefault="00C66A67" w:rsidP="003A0984">
            <w:pPr>
              <w:jc w:val="right"/>
              <w:rPr>
                <w:rFonts w:ascii="Arial" w:hAnsi="Arial" w:cs="Arial"/>
                <w:b/>
                <w:sz w:val="18"/>
                <w:szCs w:val="18"/>
              </w:rPr>
            </w:pPr>
            <w:r>
              <w:rPr>
                <w:rFonts w:ascii="Arial" w:hAnsi="Arial" w:cs="Arial"/>
                <w:b/>
                <w:sz w:val="18"/>
                <w:szCs w:val="18"/>
              </w:rPr>
              <w:t>% of Lancashire total VE employment</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Food and drink services</w:t>
            </w:r>
          </w:p>
        </w:tc>
        <w:tc>
          <w:tcPr>
            <w:tcW w:w="1100" w:type="pct"/>
            <w:shd w:val="clear" w:color="auto" w:fill="auto"/>
            <w:noWrap/>
            <w:vAlign w:val="center"/>
            <w:hideMark/>
          </w:tcPr>
          <w:p w:rsidR="00C66A67" w:rsidRPr="007E02A4" w:rsidRDefault="00C66A67" w:rsidP="003A0984">
            <w:pPr>
              <w:jc w:val="right"/>
              <w:rPr>
                <w:rFonts w:ascii="Arial" w:hAnsi="Arial" w:cs="Arial"/>
                <w:sz w:val="18"/>
                <w:szCs w:val="18"/>
              </w:rPr>
            </w:pPr>
            <w:r w:rsidRPr="007E02A4">
              <w:rPr>
                <w:rFonts w:ascii="Arial" w:hAnsi="Arial" w:cs="Arial"/>
                <w:sz w:val="18"/>
                <w:szCs w:val="18"/>
              </w:rPr>
              <w:t>30,800</w:t>
            </w:r>
          </w:p>
        </w:tc>
        <w:tc>
          <w:tcPr>
            <w:tcW w:w="1195" w:type="pct"/>
            <w:vAlign w:val="center"/>
          </w:tcPr>
          <w:p w:rsidR="00C66A67" w:rsidRPr="007E02A4" w:rsidRDefault="00C66A67" w:rsidP="003A0984">
            <w:pPr>
              <w:jc w:val="right"/>
              <w:rPr>
                <w:rFonts w:ascii="Arial" w:hAnsi="Arial" w:cs="Arial"/>
                <w:sz w:val="18"/>
                <w:szCs w:val="18"/>
              </w:rPr>
            </w:pPr>
            <w:r w:rsidRPr="00E2708C">
              <w:rPr>
                <w:rFonts w:ascii="Arial" w:hAnsi="Arial" w:cs="Arial"/>
                <w:sz w:val="18"/>
                <w:szCs w:val="20"/>
              </w:rPr>
              <w:t>61%</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Accommodation</w:t>
            </w:r>
          </w:p>
        </w:tc>
        <w:tc>
          <w:tcPr>
            <w:tcW w:w="1100" w:type="pct"/>
            <w:shd w:val="clear" w:color="auto" w:fill="auto"/>
            <w:noWrap/>
            <w:vAlign w:val="center"/>
            <w:hideMark/>
          </w:tcPr>
          <w:p w:rsidR="00C66A67" w:rsidRPr="007E02A4" w:rsidRDefault="00C66A67" w:rsidP="003A0984">
            <w:pPr>
              <w:jc w:val="right"/>
              <w:rPr>
                <w:rFonts w:ascii="Arial" w:hAnsi="Arial" w:cs="Arial"/>
                <w:sz w:val="18"/>
                <w:szCs w:val="18"/>
              </w:rPr>
            </w:pPr>
            <w:r w:rsidRPr="007E02A4">
              <w:rPr>
                <w:rFonts w:ascii="Arial" w:hAnsi="Arial" w:cs="Arial"/>
                <w:sz w:val="18"/>
                <w:szCs w:val="18"/>
              </w:rPr>
              <w:t>10,000</w:t>
            </w:r>
          </w:p>
        </w:tc>
        <w:tc>
          <w:tcPr>
            <w:tcW w:w="1195" w:type="pct"/>
            <w:vAlign w:val="center"/>
          </w:tcPr>
          <w:p w:rsidR="00C66A67" w:rsidRPr="007E02A4" w:rsidRDefault="00C66A67" w:rsidP="003A0984">
            <w:pPr>
              <w:jc w:val="right"/>
              <w:rPr>
                <w:rFonts w:ascii="Arial" w:hAnsi="Arial" w:cs="Arial"/>
                <w:sz w:val="18"/>
                <w:szCs w:val="18"/>
              </w:rPr>
            </w:pPr>
            <w:r w:rsidRPr="00E2708C">
              <w:rPr>
                <w:rFonts w:ascii="Arial" w:hAnsi="Arial" w:cs="Arial"/>
                <w:sz w:val="18"/>
                <w:szCs w:val="20"/>
              </w:rPr>
              <w:t>20%</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Sports and recreation</w:t>
            </w:r>
          </w:p>
        </w:tc>
        <w:tc>
          <w:tcPr>
            <w:tcW w:w="1100" w:type="pct"/>
            <w:shd w:val="clear" w:color="auto" w:fill="auto"/>
            <w:noWrap/>
            <w:vAlign w:val="center"/>
            <w:hideMark/>
          </w:tcPr>
          <w:p w:rsidR="00C66A67" w:rsidRPr="007E02A4" w:rsidRDefault="00C66A67" w:rsidP="003A0984">
            <w:pPr>
              <w:jc w:val="right"/>
              <w:rPr>
                <w:sz w:val="18"/>
                <w:szCs w:val="18"/>
              </w:rPr>
            </w:pPr>
            <w:r w:rsidRPr="007E02A4">
              <w:rPr>
                <w:rFonts w:ascii="Arial" w:hAnsi="Arial" w:cs="Arial"/>
                <w:sz w:val="18"/>
                <w:szCs w:val="18"/>
              </w:rPr>
              <w:t>5,700</w:t>
            </w:r>
          </w:p>
        </w:tc>
        <w:tc>
          <w:tcPr>
            <w:tcW w:w="1195" w:type="pct"/>
            <w:vAlign w:val="center"/>
          </w:tcPr>
          <w:p w:rsidR="00C66A67" w:rsidRPr="007E02A4" w:rsidRDefault="00C66A67" w:rsidP="003A0984">
            <w:pPr>
              <w:jc w:val="right"/>
              <w:rPr>
                <w:sz w:val="18"/>
                <w:szCs w:val="18"/>
              </w:rPr>
            </w:pPr>
            <w:r w:rsidRPr="00E2708C">
              <w:rPr>
                <w:rFonts w:ascii="Arial" w:hAnsi="Arial" w:cs="Arial"/>
                <w:sz w:val="18"/>
                <w:szCs w:val="20"/>
              </w:rPr>
              <w:t>11%</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Creative, arts and entertainment activities</w:t>
            </w:r>
          </w:p>
        </w:tc>
        <w:tc>
          <w:tcPr>
            <w:tcW w:w="1100" w:type="pct"/>
            <w:shd w:val="clear" w:color="auto" w:fill="auto"/>
            <w:noWrap/>
            <w:vAlign w:val="center"/>
            <w:hideMark/>
          </w:tcPr>
          <w:p w:rsidR="00C66A67" w:rsidRPr="007E02A4" w:rsidRDefault="00C66A67" w:rsidP="003A0984">
            <w:pPr>
              <w:jc w:val="right"/>
              <w:rPr>
                <w:sz w:val="18"/>
                <w:szCs w:val="18"/>
              </w:rPr>
            </w:pPr>
            <w:r w:rsidRPr="007E02A4">
              <w:rPr>
                <w:rFonts w:ascii="Arial" w:hAnsi="Arial" w:cs="Arial"/>
                <w:sz w:val="18"/>
                <w:szCs w:val="18"/>
              </w:rPr>
              <w:t>1,000</w:t>
            </w:r>
          </w:p>
        </w:tc>
        <w:tc>
          <w:tcPr>
            <w:tcW w:w="1195" w:type="pct"/>
            <w:vAlign w:val="center"/>
          </w:tcPr>
          <w:p w:rsidR="00C66A67" w:rsidRPr="007E02A4" w:rsidRDefault="00C66A67" w:rsidP="003A0984">
            <w:pPr>
              <w:jc w:val="right"/>
              <w:rPr>
                <w:sz w:val="18"/>
                <w:szCs w:val="18"/>
              </w:rPr>
            </w:pPr>
            <w:r w:rsidRPr="00E2708C">
              <w:rPr>
                <w:rFonts w:ascii="Arial" w:hAnsi="Arial" w:cs="Arial"/>
                <w:sz w:val="18"/>
                <w:szCs w:val="20"/>
              </w:rPr>
              <w:t>2%</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Tour operator</w:t>
            </w:r>
            <w:r>
              <w:rPr>
                <w:rFonts w:ascii="Arial" w:hAnsi="Arial" w:cs="Arial"/>
                <w:sz w:val="18"/>
                <w:szCs w:val="18"/>
              </w:rPr>
              <w:t>s</w:t>
            </w:r>
            <w:r w:rsidRPr="007E609B">
              <w:rPr>
                <w:rFonts w:ascii="Arial" w:hAnsi="Arial" w:cs="Arial"/>
                <w:sz w:val="18"/>
                <w:szCs w:val="18"/>
              </w:rPr>
              <w:t xml:space="preserve"> and reservation services</w:t>
            </w:r>
          </w:p>
        </w:tc>
        <w:tc>
          <w:tcPr>
            <w:tcW w:w="1100" w:type="pct"/>
            <w:shd w:val="clear" w:color="auto" w:fill="auto"/>
            <w:noWrap/>
            <w:vAlign w:val="center"/>
            <w:hideMark/>
          </w:tcPr>
          <w:p w:rsidR="00C66A67" w:rsidRPr="007E02A4" w:rsidRDefault="00C66A67" w:rsidP="003A0984">
            <w:pPr>
              <w:jc w:val="right"/>
              <w:rPr>
                <w:rFonts w:ascii="Arial" w:hAnsi="Arial" w:cs="Arial"/>
                <w:sz w:val="18"/>
                <w:szCs w:val="18"/>
              </w:rPr>
            </w:pPr>
            <w:r w:rsidRPr="007E02A4">
              <w:rPr>
                <w:rFonts w:ascii="Arial" w:hAnsi="Arial" w:cs="Arial"/>
                <w:sz w:val="18"/>
                <w:szCs w:val="18"/>
              </w:rPr>
              <w:t>900</w:t>
            </w:r>
          </w:p>
        </w:tc>
        <w:tc>
          <w:tcPr>
            <w:tcW w:w="1195" w:type="pct"/>
            <w:vAlign w:val="center"/>
          </w:tcPr>
          <w:p w:rsidR="00C66A67" w:rsidRPr="007E02A4" w:rsidRDefault="00C66A67" w:rsidP="003A0984">
            <w:pPr>
              <w:jc w:val="right"/>
              <w:rPr>
                <w:rFonts w:ascii="Arial" w:hAnsi="Arial" w:cs="Arial"/>
                <w:sz w:val="18"/>
                <w:szCs w:val="18"/>
              </w:rPr>
            </w:pPr>
            <w:r w:rsidRPr="00E2708C">
              <w:rPr>
                <w:rFonts w:ascii="Arial" w:hAnsi="Arial" w:cs="Arial"/>
                <w:sz w:val="18"/>
                <w:szCs w:val="20"/>
              </w:rPr>
              <w:t>2%</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Renting and leasing</w:t>
            </w:r>
          </w:p>
        </w:tc>
        <w:tc>
          <w:tcPr>
            <w:tcW w:w="1100" w:type="pct"/>
            <w:shd w:val="clear" w:color="auto" w:fill="auto"/>
            <w:noWrap/>
            <w:vAlign w:val="center"/>
            <w:hideMark/>
          </w:tcPr>
          <w:p w:rsidR="00C66A67" w:rsidRPr="007E02A4" w:rsidRDefault="00C66A67" w:rsidP="003A0984">
            <w:pPr>
              <w:jc w:val="right"/>
              <w:rPr>
                <w:sz w:val="18"/>
                <w:szCs w:val="18"/>
              </w:rPr>
            </w:pPr>
            <w:r w:rsidRPr="007E02A4">
              <w:rPr>
                <w:rFonts w:ascii="Arial" w:hAnsi="Arial" w:cs="Arial"/>
                <w:sz w:val="18"/>
                <w:szCs w:val="18"/>
              </w:rPr>
              <w:t>700</w:t>
            </w:r>
          </w:p>
        </w:tc>
        <w:tc>
          <w:tcPr>
            <w:tcW w:w="1195" w:type="pct"/>
            <w:vAlign w:val="center"/>
          </w:tcPr>
          <w:p w:rsidR="00C66A67" w:rsidRPr="007E02A4" w:rsidRDefault="00C66A67" w:rsidP="003A0984">
            <w:pPr>
              <w:jc w:val="right"/>
              <w:rPr>
                <w:sz w:val="18"/>
                <w:szCs w:val="18"/>
              </w:rPr>
            </w:pPr>
            <w:r w:rsidRPr="00E2708C">
              <w:rPr>
                <w:rFonts w:ascii="Arial" w:hAnsi="Arial" w:cs="Arial"/>
                <w:sz w:val="18"/>
                <w:szCs w:val="20"/>
              </w:rPr>
              <w:t>1%</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Cultural activities</w:t>
            </w:r>
          </w:p>
        </w:tc>
        <w:tc>
          <w:tcPr>
            <w:tcW w:w="1100" w:type="pct"/>
            <w:shd w:val="clear" w:color="auto" w:fill="auto"/>
            <w:noWrap/>
            <w:vAlign w:val="center"/>
            <w:hideMark/>
          </w:tcPr>
          <w:p w:rsidR="00C66A67" w:rsidRPr="007E02A4" w:rsidRDefault="00C66A67" w:rsidP="003A0984">
            <w:pPr>
              <w:jc w:val="right"/>
              <w:rPr>
                <w:sz w:val="18"/>
                <w:szCs w:val="18"/>
              </w:rPr>
            </w:pPr>
            <w:r w:rsidRPr="007E02A4">
              <w:rPr>
                <w:rFonts w:ascii="Arial" w:hAnsi="Arial" w:cs="Arial"/>
                <w:sz w:val="18"/>
                <w:szCs w:val="18"/>
              </w:rPr>
              <w:t>700</w:t>
            </w:r>
          </w:p>
        </w:tc>
        <w:tc>
          <w:tcPr>
            <w:tcW w:w="1195" w:type="pct"/>
            <w:vAlign w:val="center"/>
          </w:tcPr>
          <w:p w:rsidR="00C66A67" w:rsidRPr="007E02A4" w:rsidRDefault="00C66A67" w:rsidP="003A0984">
            <w:pPr>
              <w:jc w:val="right"/>
              <w:rPr>
                <w:sz w:val="18"/>
                <w:szCs w:val="18"/>
              </w:rPr>
            </w:pPr>
            <w:r w:rsidRPr="00E2708C">
              <w:rPr>
                <w:rFonts w:ascii="Arial" w:hAnsi="Arial" w:cs="Arial"/>
                <w:sz w:val="18"/>
                <w:szCs w:val="20"/>
              </w:rPr>
              <w:t>1%</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Land transport</w:t>
            </w:r>
          </w:p>
        </w:tc>
        <w:tc>
          <w:tcPr>
            <w:tcW w:w="1100" w:type="pct"/>
            <w:shd w:val="clear" w:color="auto" w:fill="auto"/>
            <w:noWrap/>
            <w:vAlign w:val="center"/>
            <w:hideMark/>
          </w:tcPr>
          <w:p w:rsidR="00C66A67" w:rsidRPr="007E02A4" w:rsidRDefault="00C66A67" w:rsidP="003A0984">
            <w:pPr>
              <w:jc w:val="right"/>
              <w:rPr>
                <w:sz w:val="18"/>
                <w:szCs w:val="18"/>
              </w:rPr>
            </w:pPr>
            <w:r w:rsidRPr="007E02A4">
              <w:rPr>
                <w:rFonts w:ascii="Arial" w:hAnsi="Arial" w:cs="Arial"/>
                <w:sz w:val="18"/>
                <w:szCs w:val="18"/>
              </w:rPr>
              <w:t>600</w:t>
            </w:r>
          </w:p>
        </w:tc>
        <w:tc>
          <w:tcPr>
            <w:tcW w:w="1195" w:type="pct"/>
            <w:vAlign w:val="center"/>
          </w:tcPr>
          <w:p w:rsidR="00C66A67" w:rsidRPr="007E02A4" w:rsidRDefault="00C66A67" w:rsidP="003A0984">
            <w:pPr>
              <w:jc w:val="right"/>
              <w:rPr>
                <w:rFonts w:ascii="Arial" w:hAnsi="Arial" w:cs="Arial"/>
                <w:sz w:val="18"/>
                <w:szCs w:val="18"/>
              </w:rPr>
            </w:pPr>
            <w:r w:rsidRPr="00E2708C">
              <w:rPr>
                <w:rFonts w:ascii="Arial" w:hAnsi="Arial" w:cs="Arial"/>
                <w:sz w:val="18"/>
                <w:szCs w:val="20"/>
              </w:rPr>
              <w:t>1%</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Conventions and trade shows</w:t>
            </w:r>
          </w:p>
        </w:tc>
        <w:tc>
          <w:tcPr>
            <w:tcW w:w="1100" w:type="pct"/>
            <w:shd w:val="clear" w:color="auto" w:fill="auto"/>
            <w:noWrap/>
            <w:vAlign w:val="center"/>
            <w:hideMark/>
          </w:tcPr>
          <w:p w:rsidR="00C66A67" w:rsidRPr="0049613D" w:rsidRDefault="00C66A67" w:rsidP="003A0984">
            <w:pPr>
              <w:jc w:val="right"/>
              <w:rPr>
                <w:rFonts w:ascii="Arial" w:hAnsi="Arial" w:cs="Arial"/>
                <w:sz w:val="18"/>
                <w:szCs w:val="18"/>
              </w:rPr>
            </w:pPr>
            <w:r w:rsidRPr="0049613D">
              <w:rPr>
                <w:rFonts w:ascii="Arial" w:hAnsi="Arial" w:cs="Arial"/>
                <w:sz w:val="18"/>
                <w:szCs w:val="18"/>
              </w:rPr>
              <w:t>100</w:t>
            </w:r>
          </w:p>
        </w:tc>
        <w:tc>
          <w:tcPr>
            <w:tcW w:w="1195" w:type="pct"/>
            <w:vAlign w:val="center"/>
          </w:tcPr>
          <w:p w:rsidR="00C66A67" w:rsidRPr="007E609B" w:rsidRDefault="00C66A67" w:rsidP="003A0984">
            <w:pPr>
              <w:jc w:val="right"/>
              <w:rPr>
                <w:rFonts w:ascii="Arial" w:hAnsi="Arial" w:cs="Arial"/>
                <w:sz w:val="18"/>
                <w:szCs w:val="18"/>
              </w:rPr>
            </w:pPr>
            <w:r>
              <w:rPr>
                <w:rFonts w:ascii="Arial" w:hAnsi="Arial" w:cs="Arial"/>
                <w:sz w:val="18"/>
                <w:szCs w:val="20"/>
              </w:rPr>
              <w:t>&lt;1</w:t>
            </w:r>
            <w:r w:rsidRPr="00E2708C">
              <w:rPr>
                <w:rFonts w:ascii="Arial" w:hAnsi="Arial" w:cs="Arial"/>
                <w:sz w:val="18"/>
                <w:szCs w:val="20"/>
              </w:rPr>
              <w:t>%</w:t>
            </w:r>
          </w:p>
        </w:tc>
      </w:tr>
      <w:tr w:rsidR="00C66A67" w:rsidRPr="007E609B" w:rsidTr="003F520D">
        <w:trPr>
          <w:trHeight w:val="255"/>
        </w:trPr>
        <w:tc>
          <w:tcPr>
            <w:tcW w:w="2705" w:type="pct"/>
            <w:shd w:val="clear" w:color="auto" w:fill="auto"/>
            <w:noWrap/>
            <w:vAlign w:val="center"/>
            <w:hideMark/>
          </w:tcPr>
          <w:p w:rsidR="00C66A67" w:rsidRPr="007E609B" w:rsidRDefault="00C66A67" w:rsidP="003A0984">
            <w:pPr>
              <w:rPr>
                <w:rFonts w:ascii="Arial" w:hAnsi="Arial" w:cs="Arial"/>
                <w:sz w:val="18"/>
                <w:szCs w:val="18"/>
              </w:rPr>
            </w:pPr>
            <w:r w:rsidRPr="007E609B">
              <w:rPr>
                <w:rFonts w:ascii="Arial" w:hAnsi="Arial" w:cs="Arial"/>
                <w:sz w:val="18"/>
                <w:szCs w:val="18"/>
              </w:rPr>
              <w:t>Water transport</w:t>
            </w:r>
          </w:p>
        </w:tc>
        <w:tc>
          <w:tcPr>
            <w:tcW w:w="1100" w:type="pct"/>
            <w:shd w:val="clear" w:color="auto" w:fill="auto"/>
            <w:noWrap/>
            <w:vAlign w:val="center"/>
            <w:hideMark/>
          </w:tcPr>
          <w:p w:rsidR="00C66A67" w:rsidRPr="007E609B" w:rsidRDefault="00C66A67" w:rsidP="003A0984">
            <w:pPr>
              <w:jc w:val="right"/>
              <w:rPr>
                <w:rFonts w:ascii="Arial" w:hAnsi="Arial" w:cs="Arial"/>
                <w:sz w:val="18"/>
                <w:szCs w:val="18"/>
              </w:rPr>
            </w:pPr>
            <w:r w:rsidRPr="0049613D">
              <w:rPr>
                <w:rFonts w:ascii="Arial" w:hAnsi="Arial" w:cs="Arial"/>
                <w:sz w:val="18"/>
                <w:szCs w:val="18"/>
              </w:rPr>
              <w:t>&lt;10</w:t>
            </w:r>
            <w:r w:rsidRPr="007E609B">
              <w:rPr>
                <w:rFonts w:ascii="Arial" w:hAnsi="Arial" w:cs="Arial"/>
                <w:sz w:val="18"/>
                <w:szCs w:val="18"/>
              </w:rPr>
              <w:t>0</w:t>
            </w:r>
          </w:p>
        </w:tc>
        <w:tc>
          <w:tcPr>
            <w:tcW w:w="1195" w:type="pct"/>
            <w:vAlign w:val="center"/>
          </w:tcPr>
          <w:p w:rsidR="00C66A67" w:rsidRPr="007E609B" w:rsidRDefault="00C66A67" w:rsidP="003A0984">
            <w:pPr>
              <w:jc w:val="right"/>
              <w:rPr>
                <w:rFonts w:ascii="Arial" w:hAnsi="Arial" w:cs="Arial"/>
                <w:sz w:val="18"/>
                <w:szCs w:val="18"/>
              </w:rPr>
            </w:pPr>
            <w:r>
              <w:rPr>
                <w:rFonts w:ascii="Arial" w:hAnsi="Arial" w:cs="Arial"/>
                <w:sz w:val="18"/>
                <w:szCs w:val="20"/>
              </w:rPr>
              <w:t>&lt;1</w:t>
            </w:r>
            <w:r w:rsidRPr="00E2708C">
              <w:rPr>
                <w:rFonts w:ascii="Arial" w:hAnsi="Arial" w:cs="Arial"/>
                <w:sz w:val="18"/>
                <w:szCs w:val="20"/>
              </w:rPr>
              <w:t>%</w:t>
            </w:r>
          </w:p>
        </w:tc>
      </w:tr>
      <w:tr w:rsidR="00C66A67" w:rsidRPr="007E609B" w:rsidTr="003F520D">
        <w:trPr>
          <w:trHeight w:val="255"/>
        </w:trPr>
        <w:tc>
          <w:tcPr>
            <w:tcW w:w="2705" w:type="pct"/>
            <w:shd w:val="clear" w:color="auto" w:fill="auto"/>
            <w:noWrap/>
            <w:vAlign w:val="center"/>
            <w:hideMark/>
          </w:tcPr>
          <w:p w:rsidR="00C66A67" w:rsidRPr="000825E1" w:rsidRDefault="00C66A67" w:rsidP="003A0984">
            <w:pPr>
              <w:rPr>
                <w:rFonts w:ascii="Arial" w:hAnsi="Arial" w:cs="Arial"/>
                <w:b/>
                <w:sz w:val="18"/>
                <w:szCs w:val="18"/>
              </w:rPr>
            </w:pPr>
            <w:r w:rsidRPr="000825E1">
              <w:rPr>
                <w:rFonts w:ascii="Arial" w:hAnsi="Arial" w:cs="Arial"/>
                <w:b/>
                <w:sz w:val="18"/>
                <w:szCs w:val="18"/>
              </w:rPr>
              <w:t>Total</w:t>
            </w:r>
          </w:p>
        </w:tc>
        <w:tc>
          <w:tcPr>
            <w:tcW w:w="1100" w:type="pct"/>
            <w:shd w:val="clear" w:color="auto" w:fill="auto"/>
            <w:noWrap/>
            <w:vAlign w:val="center"/>
            <w:hideMark/>
          </w:tcPr>
          <w:p w:rsidR="00C66A67" w:rsidRPr="000825E1" w:rsidRDefault="00C66A67" w:rsidP="003A0984">
            <w:pPr>
              <w:jc w:val="right"/>
              <w:rPr>
                <w:rFonts w:ascii="Arial" w:hAnsi="Arial" w:cs="Arial"/>
                <w:b/>
                <w:sz w:val="18"/>
                <w:szCs w:val="18"/>
              </w:rPr>
            </w:pPr>
            <w:r w:rsidRPr="000825E1">
              <w:rPr>
                <w:rFonts w:ascii="Arial" w:hAnsi="Arial" w:cs="Arial"/>
                <w:b/>
                <w:sz w:val="18"/>
                <w:szCs w:val="18"/>
              </w:rPr>
              <w:t>50,500</w:t>
            </w:r>
          </w:p>
        </w:tc>
        <w:tc>
          <w:tcPr>
            <w:tcW w:w="1195" w:type="pct"/>
            <w:vAlign w:val="center"/>
          </w:tcPr>
          <w:p w:rsidR="00C66A67" w:rsidRPr="000825E1" w:rsidRDefault="00C66A67" w:rsidP="003A0984">
            <w:pPr>
              <w:jc w:val="right"/>
              <w:rPr>
                <w:rFonts w:ascii="Arial" w:hAnsi="Arial" w:cs="Arial"/>
                <w:b/>
                <w:sz w:val="18"/>
                <w:szCs w:val="18"/>
              </w:rPr>
            </w:pPr>
            <w:r w:rsidRPr="000825E1">
              <w:rPr>
                <w:rFonts w:ascii="Arial" w:hAnsi="Arial" w:cs="Arial"/>
                <w:b/>
                <w:sz w:val="18"/>
                <w:szCs w:val="18"/>
              </w:rPr>
              <w:t>100%</w:t>
            </w:r>
          </w:p>
        </w:tc>
      </w:tr>
      <w:tr w:rsidR="00C66A67" w:rsidRPr="007E609B" w:rsidTr="003F520D">
        <w:trPr>
          <w:trHeight w:val="255"/>
        </w:trPr>
        <w:tc>
          <w:tcPr>
            <w:tcW w:w="5000" w:type="pct"/>
            <w:gridSpan w:val="3"/>
          </w:tcPr>
          <w:p w:rsidR="00C66A67" w:rsidRPr="007E609B" w:rsidRDefault="00C66A67" w:rsidP="003A0984">
            <w:pPr>
              <w:rPr>
                <w:rFonts w:ascii="Arial" w:hAnsi="Arial" w:cs="Arial"/>
                <w:sz w:val="18"/>
                <w:szCs w:val="18"/>
              </w:rPr>
            </w:pPr>
            <w:r w:rsidRPr="0043414A">
              <w:rPr>
                <w:rFonts w:ascii="Arial" w:hAnsi="Arial" w:cs="Arial"/>
                <w:sz w:val="18"/>
                <w:szCs w:val="18"/>
              </w:rPr>
              <w:t>Source: Business Register and Employment Surve</w:t>
            </w:r>
            <w:r w:rsidRPr="0069692A">
              <w:rPr>
                <w:rFonts w:ascii="Arial" w:hAnsi="Arial" w:cs="Arial"/>
                <w:sz w:val="18"/>
                <w:szCs w:val="18"/>
              </w:rPr>
              <w:t>y</w:t>
            </w:r>
          </w:p>
        </w:tc>
      </w:tr>
    </w:tbl>
    <w:p w:rsidR="00C66A67" w:rsidRPr="00483AB2" w:rsidRDefault="00C66A67" w:rsidP="00C66A67">
      <w:pPr>
        <w:tabs>
          <w:tab w:val="num" w:pos="860"/>
          <w:tab w:val="num" w:pos="1105"/>
        </w:tabs>
        <w:spacing w:before="120" w:after="120" w:line="288" w:lineRule="auto"/>
        <w:jc w:val="both"/>
        <w:rPr>
          <w:rFonts w:ascii="Arial" w:hAnsi="Arial" w:cs="Arial"/>
          <w:sz w:val="4"/>
          <w:szCs w:val="4"/>
        </w:rPr>
      </w:pPr>
    </w:p>
    <w:p w:rsidR="00C66A67" w:rsidRPr="00813F83"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Pr>
          <w:rFonts w:cs="Arial"/>
          <w:sz w:val="18"/>
          <w:szCs w:val="18"/>
        </w:rPr>
        <w:t xml:space="preserve">Comparing the figures above to the sub-sector structure of the business base shows that businesses in the food and drink sector are, on average, the smallest (they account for 61% of employment but 67% of businesses) while accommodation businesses are, on average, the largest (they account for 20% of employment compared with to 11% of businesses). </w:t>
      </w:r>
    </w:p>
    <w:p w:rsidR="00C66A67" w:rsidRPr="00295E22"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Pr>
          <w:rFonts w:cs="Arial"/>
          <w:sz w:val="18"/>
          <w:szCs w:val="18"/>
        </w:rPr>
        <w:t xml:space="preserve">The </w:t>
      </w:r>
      <w:r w:rsidRPr="00295E22">
        <w:rPr>
          <w:rFonts w:cs="Arial"/>
          <w:sz w:val="18"/>
          <w:szCs w:val="18"/>
        </w:rPr>
        <w:t xml:space="preserve">statistics </w:t>
      </w:r>
      <w:r>
        <w:rPr>
          <w:rFonts w:cs="Arial"/>
          <w:sz w:val="18"/>
          <w:szCs w:val="18"/>
        </w:rPr>
        <w:t xml:space="preserve">also </w:t>
      </w:r>
      <w:r w:rsidRPr="00295E22">
        <w:rPr>
          <w:rFonts w:cs="Arial"/>
          <w:sz w:val="18"/>
          <w:szCs w:val="18"/>
        </w:rPr>
        <w:t>show that Lancashire has an employment concentration</w:t>
      </w:r>
      <w:r w:rsidRPr="007C6E53">
        <w:rPr>
          <w:rFonts w:cs="Arial"/>
          <w:sz w:val="18"/>
          <w:szCs w:val="18"/>
          <w:vertAlign w:val="superscript"/>
        </w:rPr>
        <w:footnoteReference w:id="29"/>
      </w:r>
      <w:r w:rsidRPr="00295E22">
        <w:rPr>
          <w:rFonts w:cs="Arial"/>
          <w:sz w:val="18"/>
          <w:szCs w:val="18"/>
        </w:rPr>
        <w:t xml:space="preserve"> in five specific sub-sectors within the visitor economy. The largest </w:t>
      </w:r>
      <w:r w:rsidRPr="00295E22">
        <w:rPr>
          <w:rFonts w:cs="Arial"/>
          <w:sz w:val="18"/>
          <w:szCs w:val="18"/>
        </w:rPr>
        <w:lastRenderedPageBreak/>
        <w:t>of these is event catering (4,400 jobs), alt</w:t>
      </w:r>
      <w:r>
        <w:rPr>
          <w:rFonts w:cs="Arial"/>
          <w:sz w:val="18"/>
          <w:szCs w:val="18"/>
        </w:rPr>
        <w:t>hough the highest concentration</w:t>
      </w:r>
      <w:r w:rsidRPr="00295E22">
        <w:rPr>
          <w:rFonts w:cs="Arial"/>
          <w:sz w:val="18"/>
          <w:szCs w:val="18"/>
        </w:rPr>
        <w:t xml:space="preserve"> is in amusement and theme park activities</w:t>
      </w:r>
      <w:r>
        <w:rPr>
          <w:rFonts w:cs="Arial"/>
          <w:sz w:val="18"/>
          <w:szCs w:val="18"/>
        </w:rPr>
        <w:t>, reflecting the offer in Blackpool</w:t>
      </w:r>
      <w:r w:rsidRPr="00295E22">
        <w:rPr>
          <w:rFonts w:cs="Arial"/>
          <w:sz w:val="18"/>
          <w:szCs w:val="18"/>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01"/>
        <w:gridCol w:w="1427"/>
        <w:gridCol w:w="1408"/>
        <w:gridCol w:w="1197"/>
      </w:tblGrid>
      <w:tr w:rsidR="00C66A67" w:rsidRPr="007E609B" w:rsidTr="003F520D">
        <w:trPr>
          <w:trHeight w:val="315"/>
        </w:trPr>
        <w:tc>
          <w:tcPr>
            <w:tcW w:w="5000" w:type="pct"/>
            <w:gridSpan w:val="4"/>
            <w:shd w:val="clear" w:color="auto" w:fill="660066"/>
            <w:vAlign w:val="center"/>
          </w:tcPr>
          <w:p w:rsidR="00C66A67" w:rsidRPr="007E609B" w:rsidRDefault="00C66A67" w:rsidP="003A0984">
            <w:pPr>
              <w:tabs>
                <w:tab w:val="left" w:pos="720"/>
                <w:tab w:val="num" w:pos="1112"/>
              </w:tabs>
              <w:spacing w:line="264" w:lineRule="auto"/>
              <w:rPr>
                <w:rFonts w:ascii="Arial" w:hAnsi="Arial" w:cs="Arial"/>
                <w:sz w:val="18"/>
                <w:szCs w:val="18"/>
              </w:rPr>
            </w:pPr>
            <w:r w:rsidRPr="0069692A">
              <w:rPr>
                <w:rFonts w:ascii="Arial" w:hAnsi="Arial" w:cs="Arial"/>
                <w:b/>
                <w:color w:val="FFFFFF" w:themeColor="background1"/>
                <w:sz w:val="18"/>
                <w:szCs w:val="18"/>
              </w:rPr>
              <w:t xml:space="preserve">Visitor Economy Employment </w:t>
            </w:r>
            <w:r>
              <w:rPr>
                <w:rFonts w:ascii="Arial" w:hAnsi="Arial" w:cs="Arial"/>
                <w:b/>
                <w:color w:val="FFFFFF" w:themeColor="background1"/>
                <w:sz w:val="18"/>
                <w:szCs w:val="18"/>
              </w:rPr>
              <w:t xml:space="preserve">Concentrations (2013) </w:t>
            </w:r>
          </w:p>
        </w:tc>
      </w:tr>
      <w:tr w:rsidR="00C66A67" w:rsidRPr="007E609B" w:rsidTr="003F520D">
        <w:trPr>
          <w:trHeight w:val="255"/>
        </w:trPr>
        <w:tc>
          <w:tcPr>
            <w:tcW w:w="2050" w:type="pct"/>
            <w:shd w:val="clear" w:color="auto" w:fill="auto"/>
            <w:noWrap/>
            <w:vAlign w:val="center"/>
            <w:hideMark/>
          </w:tcPr>
          <w:p w:rsidR="00C66A67" w:rsidRPr="007E609B" w:rsidRDefault="00C66A67" w:rsidP="003A0984">
            <w:pPr>
              <w:jc w:val="center"/>
              <w:rPr>
                <w:rFonts w:ascii="Arial" w:hAnsi="Arial" w:cs="Arial"/>
                <w:sz w:val="18"/>
                <w:szCs w:val="18"/>
              </w:rPr>
            </w:pPr>
          </w:p>
        </w:tc>
        <w:tc>
          <w:tcPr>
            <w:tcW w:w="1044" w:type="pct"/>
            <w:shd w:val="clear" w:color="auto" w:fill="auto"/>
            <w:noWrap/>
            <w:vAlign w:val="center"/>
            <w:hideMark/>
          </w:tcPr>
          <w:p w:rsidR="00C66A67" w:rsidRPr="009A650A" w:rsidRDefault="00C66A67" w:rsidP="003A0984">
            <w:pPr>
              <w:jc w:val="right"/>
              <w:rPr>
                <w:rFonts w:ascii="Arial" w:hAnsi="Arial" w:cs="Arial"/>
                <w:b/>
                <w:sz w:val="18"/>
                <w:szCs w:val="18"/>
              </w:rPr>
            </w:pPr>
            <w:r w:rsidRPr="00456B2A">
              <w:rPr>
                <w:rFonts w:ascii="Arial" w:hAnsi="Arial" w:cs="Arial"/>
                <w:b/>
                <w:sz w:val="18"/>
                <w:szCs w:val="18"/>
              </w:rPr>
              <w:t>Employment</w:t>
            </w:r>
          </w:p>
        </w:tc>
        <w:tc>
          <w:tcPr>
            <w:tcW w:w="1030" w:type="pct"/>
            <w:vAlign w:val="center"/>
          </w:tcPr>
          <w:p w:rsidR="00C66A67" w:rsidRPr="00456B2A" w:rsidRDefault="00C66A67" w:rsidP="003A0984">
            <w:pPr>
              <w:jc w:val="right"/>
              <w:rPr>
                <w:rFonts w:ascii="Arial" w:hAnsi="Arial" w:cs="Arial"/>
                <w:b/>
                <w:sz w:val="18"/>
                <w:szCs w:val="18"/>
              </w:rPr>
            </w:pPr>
            <w:r>
              <w:rPr>
                <w:rFonts w:ascii="Arial" w:hAnsi="Arial" w:cs="Arial"/>
                <w:b/>
                <w:sz w:val="18"/>
                <w:szCs w:val="18"/>
              </w:rPr>
              <w:t>% of Lancs  employment</w:t>
            </w:r>
          </w:p>
        </w:tc>
        <w:tc>
          <w:tcPr>
            <w:tcW w:w="875" w:type="pct"/>
            <w:shd w:val="clear" w:color="auto" w:fill="auto"/>
            <w:noWrap/>
            <w:vAlign w:val="center"/>
            <w:hideMark/>
          </w:tcPr>
          <w:p w:rsidR="00C66A67" w:rsidRPr="009A650A" w:rsidRDefault="00C66A67" w:rsidP="003A0984">
            <w:pPr>
              <w:jc w:val="right"/>
              <w:rPr>
                <w:rFonts w:ascii="Arial" w:hAnsi="Arial" w:cs="Arial"/>
                <w:b/>
                <w:sz w:val="18"/>
                <w:szCs w:val="18"/>
              </w:rPr>
            </w:pPr>
            <w:r w:rsidRPr="00456B2A">
              <w:rPr>
                <w:rFonts w:ascii="Arial" w:hAnsi="Arial" w:cs="Arial"/>
                <w:b/>
                <w:sz w:val="18"/>
                <w:szCs w:val="18"/>
              </w:rPr>
              <w:t>LQ: England minus London</w:t>
            </w:r>
          </w:p>
        </w:tc>
      </w:tr>
      <w:tr w:rsidR="00C66A67" w:rsidRPr="007E609B" w:rsidTr="003F520D">
        <w:trPr>
          <w:trHeight w:val="255"/>
        </w:trPr>
        <w:tc>
          <w:tcPr>
            <w:tcW w:w="2050" w:type="pct"/>
            <w:shd w:val="clear" w:color="auto" w:fill="auto"/>
            <w:noWrap/>
            <w:vAlign w:val="center"/>
            <w:hideMark/>
          </w:tcPr>
          <w:p w:rsidR="00C66A67" w:rsidRPr="00B544D0" w:rsidRDefault="00C66A67" w:rsidP="003A0984">
            <w:pPr>
              <w:rPr>
                <w:rFonts w:ascii="Arial" w:hAnsi="Arial" w:cs="Arial"/>
                <w:sz w:val="18"/>
                <w:szCs w:val="18"/>
              </w:rPr>
            </w:pPr>
            <w:r w:rsidRPr="00B544D0">
              <w:rPr>
                <w:rFonts w:ascii="Arial" w:hAnsi="Arial" w:cs="Arial"/>
                <w:sz w:val="18"/>
                <w:szCs w:val="18"/>
              </w:rPr>
              <w:t>Activities of amusement parks and theme parks</w:t>
            </w:r>
          </w:p>
        </w:tc>
        <w:tc>
          <w:tcPr>
            <w:tcW w:w="1044"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1,000</w:t>
            </w:r>
          </w:p>
        </w:tc>
        <w:tc>
          <w:tcPr>
            <w:tcW w:w="1030" w:type="pct"/>
            <w:vAlign w:val="center"/>
          </w:tcPr>
          <w:p w:rsidR="00C66A67" w:rsidRPr="00D43407" w:rsidRDefault="00C66A67" w:rsidP="003A0984">
            <w:pPr>
              <w:jc w:val="right"/>
              <w:rPr>
                <w:rFonts w:ascii="Arial" w:hAnsi="Arial" w:cs="Arial"/>
                <w:sz w:val="18"/>
                <w:szCs w:val="20"/>
              </w:rPr>
            </w:pPr>
            <w:r w:rsidRPr="00D43407">
              <w:rPr>
                <w:rFonts w:ascii="Arial" w:hAnsi="Arial" w:cs="Arial"/>
                <w:sz w:val="18"/>
                <w:szCs w:val="20"/>
              </w:rPr>
              <w:t>2%</w:t>
            </w:r>
          </w:p>
        </w:tc>
        <w:tc>
          <w:tcPr>
            <w:tcW w:w="875"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2.4</w:t>
            </w:r>
          </w:p>
        </w:tc>
      </w:tr>
      <w:tr w:rsidR="00C66A67" w:rsidRPr="007E609B" w:rsidTr="003F520D">
        <w:trPr>
          <w:trHeight w:val="255"/>
        </w:trPr>
        <w:tc>
          <w:tcPr>
            <w:tcW w:w="2050" w:type="pct"/>
            <w:shd w:val="clear" w:color="auto" w:fill="auto"/>
            <w:noWrap/>
            <w:vAlign w:val="center"/>
            <w:hideMark/>
          </w:tcPr>
          <w:p w:rsidR="00C66A67" w:rsidRPr="00B544D0" w:rsidRDefault="00C66A67" w:rsidP="003A0984">
            <w:pPr>
              <w:rPr>
                <w:rFonts w:ascii="Arial" w:hAnsi="Arial" w:cs="Arial"/>
                <w:sz w:val="18"/>
                <w:szCs w:val="18"/>
              </w:rPr>
            </w:pPr>
            <w:r w:rsidRPr="00B544D0">
              <w:rPr>
                <w:rFonts w:ascii="Arial" w:hAnsi="Arial" w:cs="Arial"/>
                <w:sz w:val="18"/>
                <w:szCs w:val="18"/>
              </w:rPr>
              <w:t>Event catering activities</w:t>
            </w:r>
          </w:p>
        </w:tc>
        <w:tc>
          <w:tcPr>
            <w:tcW w:w="1044"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4,</w:t>
            </w:r>
            <w:r>
              <w:rPr>
                <w:rFonts w:ascii="Arial" w:hAnsi="Arial" w:cs="Arial"/>
                <w:sz w:val="18"/>
                <w:szCs w:val="18"/>
              </w:rPr>
              <w:t>4</w:t>
            </w:r>
            <w:r w:rsidRPr="00B544D0">
              <w:rPr>
                <w:rFonts w:ascii="Arial" w:hAnsi="Arial" w:cs="Arial"/>
                <w:sz w:val="18"/>
                <w:szCs w:val="18"/>
              </w:rPr>
              <w:t>00</w:t>
            </w:r>
          </w:p>
        </w:tc>
        <w:tc>
          <w:tcPr>
            <w:tcW w:w="1030" w:type="pct"/>
            <w:vAlign w:val="center"/>
          </w:tcPr>
          <w:p w:rsidR="00C66A67" w:rsidRPr="00D43407" w:rsidRDefault="00C66A67" w:rsidP="003A0984">
            <w:pPr>
              <w:jc w:val="right"/>
              <w:rPr>
                <w:rFonts w:ascii="Arial" w:hAnsi="Arial" w:cs="Arial"/>
                <w:sz w:val="18"/>
                <w:szCs w:val="20"/>
              </w:rPr>
            </w:pPr>
            <w:r w:rsidRPr="00D43407">
              <w:rPr>
                <w:rFonts w:ascii="Arial" w:hAnsi="Arial" w:cs="Arial"/>
                <w:sz w:val="18"/>
                <w:szCs w:val="20"/>
              </w:rPr>
              <w:t>9%</w:t>
            </w:r>
          </w:p>
        </w:tc>
        <w:tc>
          <w:tcPr>
            <w:tcW w:w="875"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1.8</w:t>
            </w:r>
          </w:p>
        </w:tc>
      </w:tr>
      <w:tr w:rsidR="00C66A67" w:rsidRPr="007E609B" w:rsidTr="003F520D">
        <w:trPr>
          <w:trHeight w:val="255"/>
        </w:trPr>
        <w:tc>
          <w:tcPr>
            <w:tcW w:w="2050" w:type="pct"/>
            <w:shd w:val="clear" w:color="auto" w:fill="auto"/>
            <w:noWrap/>
            <w:vAlign w:val="center"/>
            <w:hideMark/>
          </w:tcPr>
          <w:p w:rsidR="00C66A67" w:rsidRPr="00B544D0" w:rsidRDefault="00C66A67" w:rsidP="003A0984">
            <w:pPr>
              <w:rPr>
                <w:rFonts w:ascii="Arial" w:hAnsi="Arial" w:cs="Arial"/>
                <w:sz w:val="18"/>
                <w:szCs w:val="18"/>
              </w:rPr>
            </w:pPr>
            <w:r w:rsidRPr="00B544D0">
              <w:rPr>
                <w:rFonts w:ascii="Arial" w:hAnsi="Arial" w:cs="Arial"/>
                <w:sz w:val="18"/>
                <w:szCs w:val="18"/>
              </w:rPr>
              <w:t>Other amusement and recreation activities</w:t>
            </w:r>
          </w:p>
        </w:tc>
        <w:tc>
          <w:tcPr>
            <w:tcW w:w="1044"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2,200</w:t>
            </w:r>
          </w:p>
        </w:tc>
        <w:tc>
          <w:tcPr>
            <w:tcW w:w="1030" w:type="pct"/>
            <w:vAlign w:val="center"/>
          </w:tcPr>
          <w:p w:rsidR="00C66A67" w:rsidRPr="00D43407" w:rsidRDefault="00C66A67" w:rsidP="003A0984">
            <w:pPr>
              <w:jc w:val="right"/>
              <w:rPr>
                <w:rFonts w:ascii="Arial" w:hAnsi="Arial" w:cs="Arial"/>
                <w:sz w:val="18"/>
                <w:szCs w:val="20"/>
              </w:rPr>
            </w:pPr>
            <w:r w:rsidRPr="00D43407">
              <w:rPr>
                <w:rFonts w:ascii="Arial" w:hAnsi="Arial" w:cs="Arial"/>
                <w:sz w:val="18"/>
                <w:szCs w:val="20"/>
              </w:rPr>
              <w:t>4%</w:t>
            </w:r>
          </w:p>
        </w:tc>
        <w:tc>
          <w:tcPr>
            <w:tcW w:w="875"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1.6</w:t>
            </w:r>
          </w:p>
        </w:tc>
      </w:tr>
      <w:tr w:rsidR="00C66A67" w:rsidRPr="007E609B" w:rsidTr="003F520D">
        <w:trPr>
          <w:trHeight w:val="255"/>
        </w:trPr>
        <w:tc>
          <w:tcPr>
            <w:tcW w:w="2050" w:type="pct"/>
            <w:shd w:val="clear" w:color="auto" w:fill="auto"/>
            <w:noWrap/>
            <w:vAlign w:val="center"/>
            <w:hideMark/>
          </w:tcPr>
          <w:p w:rsidR="00C66A67" w:rsidRPr="00B544D0" w:rsidRDefault="00C66A67" w:rsidP="003A0984">
            <w:pPr>
              <w:rPr>
                <w:rFonts w:ascii="Arial" w:hAnsi="Arial" w:cs="Arial"/>
                <w:sz w:val="18"/>
                <w:szCs w:val="18"/>
              </w:rPr>
            </w:pPr>
            <w:r w:rsidRPr="00B544D0">
              <w:rPr>
                <w:rFonts w:ascii="Arial" w:hAnsi="Arial" w:cs="Arial"/>
                <w:sz w:val="18"/>
                <w:szCs w:val="18"/>
              </w:rPr>
              <w:t>Camping grounds, recreational vehicle parks and trailer parks</w:t>
            </w:r>
          </w:p>
        </w:tc>
        <w:tc>
          <w:tcPr>
            <w:tcW w:w="1044"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1,000</w:t>
            </w:r>
          </w:p>
        </w:tc>
        <w:tc>
          <w:tcPr>
            <w:tcW w:w="1030" w:type="pct"/>
            <w:vAlign w:val="center"/>
          </w:tcPr>
          <w:p w:rsidR="00C66A67" w:rsidRPr="00D43407" w:rsidRDefault="00C66A67" w:rsidP="003A0984">
            <w:pPr>
              <w:jc w:val="right"/>
              <w:rPr>
                <w:rFonts w:ascii="Arial" w:hAnsi="Arial" w:cs="Arial"/>
                <w:sz w:val="18"/>
                <w:szCs w:val="20"/>
              </w:rPr>
            </w:pPr>
            <w:r w:rsidRPr="00D43407">
              <w:rPr>
                <w:rFonts w:ascii="Arial" w:hAnsi="Arial" w:cs="Arial"/>
                <w:sz w:val="18"/>
                <w:szCs w:val="20"/>
              </w:rPr>
              <w:t>2%</w:t>
            </w:r>
          </w:p>
        </w:tc>
        <w:tc>
          <w:tcPr>
            <w:tcW w:w="875"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1.3</w:t>
            </w:r>
          </w:p>
        </w:tc>
      </w:tr>
      <w:tr w:rsidR="00C66A67" w:rsidRPr="007E609B" w:rsidTr="003F520D">
        <w:trPr>
          <w:trHeight w:val="255"/>
        </w:trPr>
        <w:tc>
          <w:tcPr>
            <w:tcW w:w="2050" w:type="pct"/>
            <w:shd w:val="clear" w:color="auto" w:fill="auto"/>
            <w:noWrap/>
            <w:vAlign w:val="center"/>
            <w:hideMark/>
          </w:tcPr>
          <w:p w:rsidR="00C66A67" w:rsidRPr="00B544D0" w:rsidRDefault="00C66A67" w:rsidP="003A0984">
            <w:pPr>
              <w:rPr>
                <w:rFonts w:ascii="Arial" w:hAnsi="Arial" w:cs="Arial"/>
                <w:sz w:val="18"/>
                <w:szCs w:val="18"/>
              </w:rPr>
            </w:pPr>
            <w:r w:rsidRPr="00B544D0">
              <w:rPr>
                <w:rFonts w:ascii="Arial" w:hAnsi="Arial" w:cs="Arial"/>
                <w:sz w:val="18"/>
                <w:szCs w:val="18"/>
              </w:rPr>
              <w:t>Holiday and other short stay accommodation</w:t>
            </w:r>
          </w:p>
        </w:tc>
        <w:tc>
          <w:tcPr>
            <w:tcW w:w="1044"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1,</w:t>
            </w:r>
            <w:r>
              <w:rPr>
                <w:rFonts w:ascii="Arial" w:hAnsi="Arial" w:cs="Arial"/>
                <w:sz w:val="18"/>
                <w:szCs w:val="18"/>
              </w:rPr>
              <w:t>1</w:t>
            </w:r>
            <w:r w:rsidRPr="00B544D0">
              <w:rPr>
                <w:rFonts w:ascii="Arial" w:hAnsi="Arial" w:cs="Arial"/>
                <w:sz w:val="18"/>
                <w:szCs w:val="18"/>
              </w:rPr>
              <w:t>00</w:t>
            </w:r>
          </w:p>
        </w:tc>
        <w:tc>
          <w:tcPr>
            <w:tcW w:w="1030" w:type="pct"/>
            <w:vAlign w:val="center"/>
          </w:tcPr>
          <w:p w:rsidR="00C66A67" w:rsidRPr="00D43407" w:rsidRDefault="00C66A67" w:rsidP="003A0984">
            <w:pPr>
              <w:jc w:val="right"/>
              <w:rPr>
                <w:rFonts w:ascii="Arial" w:hAnsi="Arial" w:cs="Arial"/>
                <w:sz w:val="18"/>
                <w:szCs w:val="20"/>
              </w:rPr>
            </w:pPr>
            <w:r w:rsidRPr="00D43407">
              <w:rPr>
                <w:rFonts w:ascii="Arial" w:hAnsi="Arial" w:cs="Arial"/>
                <w:sz w:val="18"/>
                <w:szCs w:val="20"/>
              </w:rPr>
              <w:t>2%</w:t>
            </w:r>
          </w:p>
        </w:tc>
        <w:tc>
          <w:tcPr>
            <w:tcW w:w="875" w:type="pct"/>
            <w:shd w:val="clear" w:color="auto" w:fill="auto"/>
            <w:noWrap/>
            <w:vAlign w:val="center"/>
            <w:hideMark/>
          </w:tcPr>
          <w:p w:rsidR="00C66A67" w:rsidRPr="00B544D0" w:rsidRDefault="00C66A67" w:rsidP="003A0984">
            <w:pPr>
              <w:jc w:val="right"/>
              <w:rPr>
                <w:rFonts w:ascii="Arial" w:hAnsi="Arial" w:cs="Arial"/>
                <w:sz w:val="18"/>
                <w:szCs w:val="18"/>
              </w:rPr>
            </w:pPr>
            <w:r w:rsidRPr="00B544D0">
              <w:rPr>
                <w:rFonts w:ascii="Arial" w:hAnsi="Arial" w:cs="Arial"/>
                <w:sz w:val="18"/>
                <w:szCs w:val="18"/>
              </w:rPr>
              <w:t>1.2</w:t>
            </w:r>
          </w:p>
        </w:tc>
      </w:tr>
      <w:tr w:rsidR="00C66A67" w:rsidRPr="007E609B" w:rsidTr="003F520D">
        <w:trPr>
          <w:trHeight w:val="255"/>
        </w:trPr>
        <w:tc>
          <w:tcPr>
            <w:tcW w:w="5000" w:type="pct"/>
            <w:gridSpan w:val="4"/>
          </w:tcPr>
          <w:p w:rsidR="00C66A67" w:rsidRPr="007E609B" w:rsidRDefault="00C66A67" w:rsidP="003A0984">
            <w:pPr>
              <w:rPr>
                <w:rFonts w:ascii="Arial" w:hAnsi="Arial" w:cs="Arial"/>
                <w:sz w:val="18"/>
                <w:szCs w:val="18"/>
              </w:rPr>
            </w:pPr>
            <w:r w:rsidRPr="0043414A">
              <w:rPr>
                <w:rFonts w:ascii="Arial" w:hAnsi="Arial" w:cs="Arial"/>
                <w:sz w:val="18"/>
                <w:szCs w:val="18"/>
              </w:rPr>
              <w:t>Source: Business Register and Employment Surve</w:t>
            </w:r>
            <w:r w:rsidRPr="0069692A">
              <w:rPr>
                <w:rFonts w:ascii="Arial" w:hAnsi="Arial" w:cs="Arial"/>
                <w:sz w:val="18"/>
                <w:szCs w:val="18"/>
              </w:rPr>
              <w:t>y</w:t>
            </w:r>
          </w:p>
        </w:tc>
      </w:tr>
    </w:tbl>
    <w:p w:rsidR="00C66A67" w:rsidRPr="009232EA" w:rsidRDefault="00C66A67" w:rsidP="00C66A67">
      <w:pPr>
        <w:keepNext/>
        <w:spacing w:before="360"/>
        <w:ind w:right="1627"/>
        <w:outlineLvl w:val="1"/>
        <w:rPr>
          <w:rFonts w:ascii="Arial Bold" w:hAnsi="Arial Bold" w:cs="Arial"/>
          <w:color w:val="6C2768"/>
          <w:sz w:val="18"/>
          <w:szCs w:val="18"/>
        </w:rPr>
      </w:pPr>
      <w:bookmarkStart w:id="60" w:name="_Toc421889360"/>
      <w:bookmarkStart w:id="61" w:name="_Toc422907640"/>
      <w:bookmarkStart w:id="62" w:name="_Toc424128468"/>
      <w:bookmarkStart w:id="63" w:name="_Toc419469473"/>
      <w:r w:rsidRPr="009232EA">
        <w:rPr>
          <w:rFonts w:ascii="Arial Bold" w:hAnsi="Arial Bold" w:cs="Arial"/>
          <w:b/>
          <w:bCs/>
          <w:iCs/>
          <w:color w:val="6C2768"/>
          <w:sz w:val="22"/>
          <w:szCs w:val="22"/>
        </w:rPr>
        <w:t>Productivity</w:t>
      </w:r>
      <w:bookmarkEnd w:id="60"/>
      <w:bookmarkEnd w:id="61"/>
      <w:bookmarkEnd w:id="62"/>
      <w:r w:rsidRPr="009232EA">
        <w:rPr>
          <w:rFonts w:ascii="Arial Bold" w:hAnsi="Arial Bold" w:cs="Arial"/>
          <w:color w:val="6C2768"/>
          <w:sz w:val="18"/>
          <w:szCs w:val="18"/>
        </w:rPr>
        <w:t xml:space="preserve">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037FE6">
        <w:rPr>
          <w:rFonts w:cs="Arial"/>
          <w:sz w:val="18"/>
          <w:szCs w:val="18"/>
        </w:rPr>
        <w:t xml:space="preserve">Oxford Economics figures suggest that productivity (measured as GVA per worker) in Lancashire’s visitor economy sector is </w:t>
      </w:r>
      <w:r>
        <w:rPr>
          <w:rFonts w:cs="Arial"/>
          <w:sz w:val="18"/>
          <w:szCs w:val="18"/>
        </w:rPr>
        <w:t xml:space="preserve">lagging behind that of many other sectors.  </w:t>
      </w:r>
    </w:p>
    <w:p w:rsidR="009232EA"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Pr>
          <w:rFonts w:cs="Arial"/>
          <w:sz w:val="18"/>
          <w:szCs w:val="18"/>
        </w:rPr>
        <w:t xml:space="preserve">At £17,300 in 2014, it was just over half the average reported for the Lancashire economy (£34,100) and less than 80% of the national </w:t>
      </w:r>
      <w:r w:rsidR="009232EA">
        <w:rPr>
          <w:rFonts w:cs="Arial"/>
          <w:sz w:val="18"/>
          <w:szCs w:val="18"/>
        </w:rPr>
        <w:t xml:space="preserve">visitor economy </w:t>
      </w:r>
      <w:r>
        <w:rPr>
          <w:rFonts w:cs="Arial"/>
          <w:sz w:val="18"/>
          <w:szCs w:val="18"/>
        </w:rPr>
        <w:t xml:space="preserve">average (£21,900). </w:t>
      </w:r>
      <w:r w:rsidR="009232EA">
        <w:rPr>
          <w:rFonts w:cs="Arial"/>
          <w:sz w:val="18"/>
          <w:szCs w:val="18"/>
        </w:rPr>
        <w:t xml:space="preserve"> </w:t>
      </w:r>
      <w:r>
        <w:rPr>
          <w:rFonts w:cs="Arial"/>
          <w:sz w:val="18"/>
          <w:szCs w:val="18"/>
        </w:rPr>
        <w:t>In Blackpool (the local authority with the highest concentration of visitor economy employment), the position is even more stark</w:t>
      </w:r>
      <w:r w:rsidR="009232EA">
        <w:rPr>
          <w:rFonts w:cs="Arial"/>
          <w:sz w:val="18"/>
          <w:szCs w:val="18"/>
        </w:rPr>
        <w:t xml:space="preserve">: </w:t>
      </w:r>
      <w:r>
        <w:rPr>
          <w:rFonts w:cs="Arial"/>
          <w:sz w:val="18"/>
          <w:szCs w:val="18"/>
        </w:rPr>
        <w:t xml:space="preserve">GVA per worker </w:t>
      </w:r>
      <w:r w:rsidR="009232EA">
        <w:rPr>
          <w:rFonts w:cs="Arial"/>
          <w:sz w:val="18"/>
          <w:szCs w:val="18"/>
        </w:rPr>
        <w:t xml:space="preserve">in the visitor economy is estimated at </w:t>
      </w:r>
      <w:r>
        <w:rPr>
          <w:rFonts w:cs="Arial"/>
          <w:sz w:val="18"/>
          <w:szCs w:val="18"/>
        </w:rPr>
        <w:t xml:space="preserve">£14,900.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Pr>
          <w:rFonts w:cs="Arial"/>
          <w:sz w:val="18"/>
          <w:szCs w:val="18"/>
        </w:rPr>
        <w:t xml:space="preserve">The </w:t>
      </w:r>
      <w:r w:rsidR="009232EA">
        <w:rPr>
          <w:rFonts w:cs="Arial"/>
          <w:sz w:val="18"/>
          <w:szCs w:val="18"/>
        </w:rPr>
        <w:t>visitor economy in Lancashire reported GVA</w:t>
      </w:r>
      <w:r>
        <w:rPr>
          <w:rFonts w:cs="Arial"/>
          <w:sz w:val="18"/>
          <w:szCs w:val="18"/>
        </w:rPr>
        <w:t xml:space="preserve"> growth </w:t>
      </w:r>
      <w:r w:rsidR="009232EA">
        <w:rPr>
          <w:rFonts w:cs="Arial"/>
          <w:sz w:val="18"/>
          <w:szCs w:val="18"/>
        </w:rPr>
        <w:t>of 5%</w:t>
      </w:r>
      <w:r>
        <w:rPr>
          <w:rFonts w:cs="Arial"/>
          <w:sz w:val="18"/>
          <w:szCs w:val="18"/>
        </w:rPr>
        <w:t xml:space="preserve"> between 2005 and 2014 which helped to close the gap to the Lancashire average, although not significantly so. </w:t>
      </w:r>
    </w:p>
    <w:p w:rsidR="009232EA" w:rsidRDefault="009232EA" w:rsidP="009232EA">
      <w:pPr>
        <w:pStyle w:val="normalnumbered"/>
        <w:tabs>
          <w:tab w:val="clear" w:pos="2666"/>
          <w:tab w:val="num" w:pos="2240"/>
        </w:tabs>
        <w:spacing w:line="264" w:lineRule="auto"/>
        <w:ind w:left="0" w:right="40" w:firstLine="0"/>
        <w:rPr>
          <w:rFonts w:cs="Arial"/>
          <w:sz w:val="18"/>
          <w:szCs w:val="18"/>
        </w:rPr>
      </w:pPr>
    </w:p>
    <w:p w:rsidR="009232EA" w:rsidRPr="000E4562" w:rsidRDefault="009232EA" w:rsidP="009232EA">
      <w:pPr>
        <w:pStyle w:val="normalnumbered"/>
        <w:tabs>
          <w:tab w:val="clear" w:pos="2666"/>
          <w:tab w:val="num" w:pos="2240"/>
        </w:tabs>
        <w:spacing w:line="264" w:lineRule="auto"/>
        <w:ind w:left="0" w:right="40" w:firstLine="0"/>
        <w:rPr>
          <w:rFonts w:cs="Arial"/>
          <w:sz w:val="18"/>
          <w:szCs w:val="18"/>
        </w:rPr>
      </w:pPr>
    </w:p>
    <w:p w:rsidR="00C66A67" w:rsidRPr="009232EA" w:rsidRDefault="00C66A67" w:rsidP="00C66A67">
      <w:pPr>
        <w:keepNext/>
        <w:spacing w:before="360"/>
        <w:ind w:right="1627"/>
        <w:outlineLvl w:val="1"/>
        <w:rPr>
          <w:rFonts w:ascii="Arial Bold" w:hAnsi="Arial Bold" w:cs="Arial"/>
          <w:b/>
          <w:bCs/>
          <w:iCs/>
          <w:color w:val="6C2768"/>
          <w:sz w:val="22"/>
          <w:szCs w:val="22"/>
        </w:rPr>
      </w:pPr>
      <w:bookmarkStart w:id="64" w:name="_Toc421889361"/>
      <w:bookmarkStart w:id="65" w:name="_Toc422907641"/>
      <w:bookmarkStart w:id="66" w:name="_Toc424128469"/>
      <w:r w:rsidRPr="009232EA">
        <w:rPr>
          <w:rFonts w:ascii="Arial Bold" w:hAnsi="Arial Bold" w:cs="Arial"/>
          <w:b/>
          <w:bCs/>
          <w:iCs/>
          <w:color w:val="6C2768"/>
          <w:sz w:val="22"/>
          <w:szCs w:val="22"/>
        </w:rPr>
        <w:lastRenderedPageBreak/>
        <w:t>The Visitor Economy Workforce</w:t>
      </w:r>
      <w:bookmarkEnd w:id="63"/>
      <w:bookmarkEnd w:id="64"/>
      <w:bookmarkEnd w:id="65"/>
      <w:bookmarkEnd w:id="66"/>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 xml:space="preserve">Age Profile </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295E22">
        <w:rPr>
          <w:rFonts w:cs="Arial"/>
          <w:sz w:val="18"/>
          <w:szCs w:val="18"/>
        </w:rPr>
        <w:t>Lancashire</w:t>
      </w:r>
      <w:r>
        <w:rPr>
          <w:rFonts w:cs="Arial"/>
          <w:sz w:val="18"/>
          <w:szCs w:val="18"/>
        </w:rPr>
        <w:t>’s visitor economy workforce</w:t>
      </w:r>
      <w:r w:rsidRPr="00295E22">
        <w:rPr>
          <w:rFonts w:cs="Arial"/>
          <w:sz w:val="18"/>
          <w:szCs w:val="18"/>
        </w:rPr>
        <w:t xml:space="preserve"> is characterised by a high proportion of young people.  Employ</w:t>
      </w:r>
      <w:r>
        <w:rPr>
          <w:rFonts w:cs="Arial"/>
          <w:sz w:val="18"/>
          <w:szCs w:val="18"/>
        </w:rPr>
        <w:t>ees aged under 30 account for 34</w:t>
      </w:r>
      <w:r w:rsidRPr="00295E22">
        <w:rPr>
          <w:rFonts w:cs="Arial"/>
          <w:sz w:val="18"/>
          <w:szCs w:val="18"/>
        </w:rPr>
        <w:t>% of employment</w:t>
      </w:r>
      <w:r>
        <w:rPr>
          <w:rFonts w:cs="Arial"/>
          <w:sz w:val="18"/>
          <w:szCs w:val="18"/>
        </w:rPr>
        <w:t xml:space="preserve"> in the sector, compared with 24</w:t>
      </w:r>
      <w:r w:rsidRPr="00295E22">
        <w:rPr>
          <w:rFonts w:cs="Arial"/>
          <w:sz w:val="18"/>
          <w:szCs w:val="18"/>
        </w:rPr>
        <w:t xml:space="preserve">% across the LEP area as a whole.   Employees aged 16-19, in particular, are over-represented. </w:t>
      </w:r>
      <w:r>
        <w:rPr>
          <w:rFonts w:cs="Arial"/>
          <w:sz w:val="18"/>
          <w:szCs w:val="18"/>
        </w:rPr>
        <w:t xml:space="preserve"> </w:t>
      </w:r>
    </w:p>
    <w:p w:rsidR="00C66A67" w:rsidRPr="007C6E53"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Pr>
          <w:rFonts w:cs="Arial"/>
          <w:sz w:val="18"/>
          <w:szCs w:val="18"/>
        </w:rPr>
        <w:t>This will continue to be the case for the foreseeable future</w:t>
      </w:r>
      <w:r w:rsidR="009232EA">
        <w:rPr>
          <w:rFonts w:cs="Arial"/>
          <w:sz w:val="18"/>
          <w:szCs w:val="18"/>
        </w:rPr>
        <w:t xml:space="preserve"> and gives </w:t>
      </w:r>
      <w:r>
        <w:rPr>
          <w:rFonts w:cs="Arial"/>
          <w:sz w:val="18"/>
          <w:szCs w:val="18"/>
        </w:rPr>
        <w:t xml:space="preserve">rise to challenges.  Employers note that some roles, for example front of house staff in restaurants and other customer facing activities, are better suited to people with more work and life experience, yet it can be difficult to find suitable candidates. More generally, the employers consulted for this study regularly remarked on the absence of appropriate work readiness skills amongst younger job candidates.  </w:t>
      </w:r>
      <w:r w:rsidR="000115C9">
        <w:rPr>
          <w:rFonts w:cs="Arial"/>
          <w:sz w:val="18"/>
          <w:szCs w:val="18"/>
        </w:rPr>
        <w:t xml:space="preserve"> </w:t>
      </w:r>
    </w:p>
    <w:tbl>
      <w:tblPr>
        <w:tblW w:w="652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2126"/>
        <w:gridCol w:w="2127"/>
      </w:tblGrid>
      <w:tr w:rsidR="00C66A67" w:rsidRPr="00517430" w:rsidTr="003F520D">
        <w:trPr>
          <w:cantSplit/>
          <w:trHeight w:val="317"/>
          <w:tblHeader/>
        </w:trPr>
        <w:tc>
          <w:tcPr>
            <w:tcW w:w="6521" w:type="dxa"/>
            <w:gridSpan w:val="3"/>
            <w:shd w:val="clear" w:color="auto" w:fill="660066"/>
            <w:vAlign w:val="center"/>
          </w:tcPr>
          <w:p w:rsidR="00C66A67" w:rsidRPr="00517430" w:rsidRDefault="00C66A67" w:rsidP="003A0984">
            <w:pPr>
              <w:tabs>
                <w:tab w:val="left" w:pos="720"/>
                <w:tab w:val="num" w:pos="1112"/>
              </w:tabs>
              <w:spacing w:line="264" w:lineRule="auto"/>
              <w:rPr>
                <w:rFonts w:ascii="Arial" w:hAnsi="Arial" w:cs="Arial"/>
                <w:b/>
                <w:bCs/>
                <w:iCs/>
                <w:sz w:val="18"/>
                <w:szCs w:val="18"/>
              </w:rPr>
            </w:pPr>
            <w:r w:rsidRPr="00D74D5B">
              <w:rPr>
                <w:rFonts w:ascii="Arial" w:hAnsi="Arial" w:cs="Arial"/>
                <w:b/>
                <w:color w:val="FFFFFF" w:themeColor="background1"/>
                <w:sz w:val="18"/>
                <w:szCs w:val="18"/>
              </w:rPr>
              <w:t>Age Profile of Visitor Economy Employees in Lancashire</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p>
        </w:tc>
        <w:tc>
          <w:tcPr>
            <w:tcW w:w="2126" w:type="dxa"/>
            <w:vAlign w:val="center"/>
          </w:tcPr>
          <w:p w:rsidR="00C66A67" w:rsidRPr="00D74D5B" w:rsidRDefault="00C66A67" w:rsidP="003A0984">
            <w:pPr>
              <w:jc w:val="right"/>
              <w:rPr>
                <w:rFonts w:ascii="Arial" w:hAnsi="Arial" w:cs="Arial"/>
                <w:b/>
                <w:sz w:val="18"/>
                <w:szCs w:val="18"/>
              </w:rPr>
            </w:pPr>
            <w:r w:rsidRPr="00D74D5B">
              <w:rPr>
                <w:rFonts w:ascii="Arial" w:hAnsi="Arial" w:cs="Arial"/>
                <w:b/>
                <w:sz w:val="18"/>
                <w:szCs w:val="18"/>
              </w:rPr>
              <w:t>Visitor Economy</w:t>
            </w:r>
          </w:p>
          <w:p w:rsidR="00C66A67" w:rsidRPr="00D74D5B" w:rsidRDefault="00C66A67" w:rsidP="003A0984">
            <w:pPr>
              <w:jc w:val="right"/>
              <w:rPr>
                <w:rFonts w:ascii="Arial" w:hAnsi="Arial" w:cs="Arial"/>
                <w:b/>
                <w:sz w:val="18"/>
                <w:szCs w:val="18"/>
              </w:rPr>
            </w:pPr>
            <w:r w:rsidRPr="00D74D5B">
              <w:rPr>
                <w:rFonts w:ascii="Arial" w:hAnsi="Arial" w:cs="Arial"/>
                <w:b/>
                <w:sz w:val="18"/>
                <w:szCs w:val="18"/>
              </w:rPr>
              <w:t>(%)</w:t>
            </w:r>
          </w:p>
        </w:tc>
        <w:tc>
          <w:tcPr>
            <w:tcW w:w="2127" w:type="dxa"/>
            <w:vAlign w:val="center"/>
          </w:tcPr>
          <w:p w:rsidR="00C66A67" w:rsidRPr="00D74D5B" w:rsidRDefault="00C66A67" w:rsidP="003A0984">
            <w:pPr>
              <w:jc w:val="right"/>
              <w:rPr>
                <w:rFonts w:ascii="Arial" w:hAnsi="Arial" w:cs="Arial"/>
                <w:b/>
                <w:sz w:val="18"/>
                <w:szCs w:val="18"/>
              </w:rPr>
            </w:pPr>
            <w:r w:rsidRPr="00D74D5B">
              <w:rPr>
                <w:rFonts w:ascii="Arial" w:hAnsi="Arial" w:cs="Arial"/>
                <w:b/>
                <w:sz w:val="18"/>
                <w:szCs w:val="18"/>
              </w:rPr>
              <w:t>Lancashire Economy</w:t>
            </w:r>
          </w:p>
          <w:p w:rsidR="00C66A67" w:rsidRPr="00D74D5B" w:rsidRDefault="00C66A67" w:rsidP="003A0984">
            <w:pPr>
              <w:jc w:val="right"/>
              <w:rPr>
                <w:rFonts w:ascii="Arial" w:hAnsi="Arial" w:cs="Arial"/>
                <w:b/>
                <w:sz w:val="18"/>
                <w:szCs w:val="18"/>
              </w:rPr>
            </w:pPr>
            <w:r w:rsidRPr="00D74D5B">
              <w:rPr>
                <w:rFonts w:ascii="Arial" w:hAnsi="Arial" w:cs="Arial"/>
                <w:b/>
                <w:sz w:val="18"/>
                <w:szCs w:val="18"/>
              </w:rPr>
              <w:t>(%)</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Age 16 to 19</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9%</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4%</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Age 20 to 29</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25%</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20%</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Age 30 to 39</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19%</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21%</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Age 40 to 49</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21%</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26%</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Age 50 to 59</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17%</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20%</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Age 60 to 64</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6%</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6%</w:t>
            </w:r>
          </w:p>
        </w:tc>
      </w:tr>
      <w:tr w:rsidR="00C66A67" w:rsidRPr="00517430" w:rsidTr="003F520D">
        <w:trPr>
          <w:cantSplit/>
          <w:trHeight w:val="255"/>
        </w:trPr>
        <w:tc>
          <w:tcPr>
            <w:tcW w:w="2268" w:type="dxa"/>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Age 65 and over</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3%</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3%</w:t>
            </w:r>
          </w:p>
        </w:tc>
      </w:tr>
      <w:tr w:rsidR="00C66A67" w:rsidRPr="00517430" w:rsidTr="003F520D">
        <w:trPr>
          <w:cantSplit/>
          <w:trHeight w:val="255"/>
        </w:trPr>
        <w:tc>
          <w:tcPr>
            <w:tcW w:w="2268" w:type="dxa"/>
            <w:vAlign w:val="center"/>
          </w:tcPr>
          <w:p w:rsidR="00C66A67" w:rsidRPr="006B1AF4" w:rsidRDefault="00C66A67" w:rsidP="003A0984">
            <w:pPr>
              <w:rPr>
                <w:rFonts w:ascii="Arial" w:hAnsi="Arial" w:cs="Arial"/>
                <w:b/>
                <w:sz w:val="18"/>
                <w:szCs w:val="18"/>
              </w:rPr>
            </w:pPr>
            <w:r w:rsidRPr="006B1AF4">
              <w:rPr>
                <w:rFonts w:ascii="Arial" w:hAnsi="Arial" w:cs="Arial"/>
                <w:b/>
                <w:sz w:val="18"/>
                <w:szCs w:val="18"/>
              </w:rPr>
              <w:t>Total</w:t>
            </w:r>
          </w:p>
        </w:tc>
        <w:tc>
          <w:tcPr>
            <w:tcW w:w="2126"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100%</w:t>
            </w:r>
          </w:p>
        </w:tc>
        <w:tc>
          <w:tcPr>
            <w:tcW w:w="2127" w:type="dxa"/>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100%</w:t>
            </w:r>
          </w:p>
        </w:tc>
      </w:tr>
      <w:tr w:rsidR="00C66A67" w:rsidRPr="00517430" w:rsidTr="003F520D">
        <w:trPr>
          <w:cantSplit/>
          <w:trHeight w:val="255"/>
        </w:trPr>
        <w:tc>
          <w:tcPr>
            <w:tcW w:w="6521" w:type="dxa"/>
            <w:gridSpan w:val="3"/>
            <w:vAlign w:val="center"/>
          </w:tcPr>
          <w:p w:rsidR="00C66A67" w:rsidRPr="00517430" w:rsidRDefault="00C66A67" w:rsidP="003A0984">
            <w:pPr>
              <w:rPr>
                <w:rFonts w:ascii="Arial" w:hAnsi="Arial" w:cs="Arial"/>
                <w:bCs/>
                <w:iCs/>
                <w:sz w:val="16"/>
                <w:szCs w:val="16"/>
              </w:rPr>
            </w:pPr>
            <w:r w:rsidRPr="00F10168">
              <w:rPr>
                <w:rFonts w:ascii="Arial" w:hAnsi="Arial" w:cs="Arial"/>
                <w:sz w:val="18"/>
                <w:szCs w:val="18"/>
              </w:rPr>
              <w:t>Source: Census and BRES</w:t>
            </w:r>
          </w:p>
        </w:tc>
      </w:tr>
    </w:tbl>
    <w:p w:rsidR="009232EA" w:rsidRPr="009232EA" w:rsidRDefault="009232EA" w:rsidP="009232EA">
      <w:pPr>
        <w:spacing w:before="120" w:after="120" w:line="264" w:lineRule="auto"/>
        <w:jc w:val="both"/>
        <w:rPr>
          <w:rFonts w:ascii="Arial" w:hAnsi="Arial" w:cs="Arial"/>
          <w:b/>
          <w:i/>
          <w:color w:val="6C2768"/>
          <w:sz w:val="4"/>
          <w:szCs w:val="4"/>
          <w:lang w:eastAsia="en-GB"/>
        </w:rPr>
      </w:pP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Gender and Ethnicity</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Cs w:val="20"/>
        </w:rPr>
      </w:pPr>
      <w:r w:rsidRPr="00295E22">
        <w:rPr>
          <w:rFonts w:cs="Arial"/>
          <w:sz w:val="18"/>
          <w:szCs w:val="18"/>
        </w:rPr>
        <w:t xml:space="preserve">Females account for 54% of visitor economy employees in Lancashire, compared with 53% across all sectors in the LEP area combined. Visitor economy employees are predominantly white (90%), which is similar to the 93% across Lancashire as a whole (all sectors). The second largest ethnic group working in the visitor economy in Lancashire is Asian/Asian British, accounting for 8% in the sector compared with 1% across the LEP’s total employment base.   </w:t>
      </w: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lastRenderedPageBreak/>
        <w:t>Qualifications Profile</w:t>
      </w:r>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295E22">
        <w:rPr>
          <w:rFonts w:cs="Arial"/>
          <w:sz w:val="18"/>
          <w:szCs w:val="18"/>
        </w:rPr>
        <w:t xml:space="preserve">The ‘highest level of qualification’ profile for the visitor economy in Lancashire is below that of the LEP area as a whole.  An above average proportion of employees in the visitor economy have no formal qualifications (one and half times the proportion for the LEP area) or are not qualified above Level 2. In contrast, the proportion of visitor economy employees qualified to Level 4 and above is less than half the LEP-wide average.  </w:t>
      </w:r>
    </w:p>
    <w:p w:rsidR="00C66A67" w:rsidRPr="002E7F66" w:rsidRDefault="00C66A67" w:rsidP="00C66A67">
      <w:pPr>
        <w:pStyle w:val="normalnumbered"/>
        <w:numPr>
          <w:ilvl w:val="1"/>
          <w:numId w:val="1"/>
        </w:numPr>
        <w:tabs>
          <w:tab w:val="clear" w:pos="2666"/>
          <w:tab w:val="num" w:pos="709"/>
        </w:tabs>
        <w:spacing w:line="264" w:lineRule="auto"/>
        <w:ind w:left="0" w:right="40" w:firstLine="0"/>
        <w:rPr>
          <w:rFonts w:cs="Arial"/>
          <w:sz w:val="18"/>
          <w:szCs w:val="18"/>
        </w:rPr>
      </w:pPr>
      <w:r>
        <w:rPr>
          <w:rFonts w:cs="Arial"/>
          <w:sz w:val="18"/>
          <w:szCs w:val="18"/>
        </w:rPr>
        <w:t xml:space="preserve">There are various reasons why this is the case.  As explained later in this chapter, the visitor economy is, typically, a low paying sector </w:t>
      </w:r>
      <w:r w:rsidR="009232EA">
        <w:rPr>
          <w:rFonts w:cs="Arial"/>
          <w:sz w:val="18"/>
          <w:szCs w:val="18"/>
        </w:rPr>
        <w:t xml:space="preserve">and that acts </w:t>
      </w:r>
      <w:r>
        <w:rPr>
          <w:rFonts w:cs="Arial"/>
          <w:sz w:val="18"/>
          <w:szCs w:val="18"/>
        </w:rPr>
        <w:t xml:space="preserve">as a deterrent for some well qualified individuals.  It is also the case that some roles within the sector do not require applicants to have achieved qualifications at intermediate or higher levels. Employers also feel that advice and guidance in schools fails to convey the breadth of opportunities and progression pathways that exist, in doing so deterring young people capable of high levels of achievement from considering it as a viable option.  </w:t>
      </w:r>
      <w:r w:rsidRPr="002E7F66">
        <w:rPr>
          <w:rFonts w:cs="Arial"/>
          <w:sz w:val="18"/>
          <w:szCs w:val="18"/>
        </w:rPr>
        <w:t xml:space="preserve">  </w:t>
      </w:r>
    </w:p>
    <w:tbl>
      <w:tblPr>
        <w:tblW w:w="4772"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24"/>
        <w:gridCol w:w="1738"/>
        <w:gridCol w:w="1659"/>
      </w:tblGrid>
      <w:tr w:rsidR="00C66A67" w:rsidRPr="008A419C" w:rsidTr="003F520D">
        <w:trPr>
          <w:cantSplit/>
          <w:trHeight w:val="335"/>
          <w:tblHeader/>
          <w:jc w:val="center"/>
        </w:trPr>
        <w:tc>
          <w:tcPr>
            <w:tcW w:w="5000" w:type="pct"/>
            <w:gridSpan w:val="3"/>
            <w:shd w:val="clear" w:color="auto" w:fill="660066"/>
            <w:vAlign w:val="center"/>
          </w:tcPr>
          <w:p w:rsidR="00C66A67" w:rsidRDefault="00C66A67" w:rsidP="003A0984">
            <w:pPr>
              <w:tabs>
                <w:tab w:val="left" w:pos="720"/>
                <w:tab w:val="num" w:pos="1112"/>
              </w:tabs>
              <w:spacing w:line="264" w:lineRule="auto"/>
              <w:rPr>
                <w:rFonts w:ascii="Arial" w:hAnsi="Arial" w:cs="Arial"/>
                <w:b/>
                <w:bCs/>
                <w:iCs/>
                <w:sz w:val="18"/>
                <w:szCs w:val="18"/>
              </w:rPr>
            </w:pPr>
            <w:r w:rsidRPr="00F10168">
              <w:rPr>
                <w:rFonts w:ascii="Arial" w:hAnsi="Arial" w:cs="Arial"/>
                <w:b/>
                <w:color w:val="FFFFFF" w:themeColor="background1"/>
                <w:sz w:val="18"/>
                <w:szCs w:val="18"/>
              </w:rPr>
              <w:t>Highest Level of Qualification</w:t>
            </w:r>
          </w:p>
        </w:tc>
      </w:tr>
      <w:tr w:rsidR="00C66A67" w:rsidRPr="008A419C" w:rsidTr="003F520D">
        <w:trPr>
          <w:cantSplit/>
          <w:trHeight w:val="255"/>
          <w:jc w:val="center"/>
        </w:trPr>
        <w:tc>
          <w:tcPr>
            <w:tcW w:w="2395" w:type="pct"/>
            <w:vAlign w:val="center"/>
          </w:tcPr>
          <w:p w:rsidR="00C66A67" w:rsidRDefault="00C66A67" w:rsidP="003A0984">
            <w:pPr>
              <w:rPr>
                <w:rFonts w:ascii="Arial" w:hAnsi="Arial" w:cs="Arial"/>
                <w:sz w:val="20"/>
                <w:szCs w:val="20"/>
              </w:rPr>
            </w:pPr>
          </w:p>
        </w:tc>
        <w:tc>
          <w:tcPr>
            <w:tcW w:w="1333" w:type="pct"/>
            <w:vAlign w:val="center"/>
          </w:tcPr>
          <w:p w:rsidR="00C66A67" w:rsidRPr="00F10168" w:rsidRDefault="00C66A67" w:rsidP="003A0984">
            <w:pPr>
              <w:jc w:val="right"/>
              <w:rPr>
                <w:rFonts w:ascii="Arial" w:hAnsi="Arial" w:cs="Arial"/>
                <w:b/>
                <w:sz w:val="18"/>
                <w:szCs w:val="18"/>
              </w:rPr>
            </w:pPr>
            <w:r w:rsidRPr="00F10168">
              <w:rPr>
                <w:rFonts w:ascii="Arial" w:hAnsi="Arial" w:cs="Arial"/>
                <w:b/>
                <w:sz w:val="18"/>
                <w:szCs w:val="18"/>
              </w:rPr>
              <w:t>Visitor Economy</w:t>
            </w:r>
          </w:p>
          <w:p w:rsidR="00C66A67" w:rsidRPr="00F10168" w:rsidRDefault="00C66A67" w:rsidP="003A0984">
            <w:pPr>
              <w:jc w:val="right"/>
              <w:rPr>
                <w:rFonts w:ascii="Arial" w:hAnsi="Arial" w:cs="Arial"/>
                <w:b/>
                <w:sz w:val="18"/>
                <w:szCs w:val="18"/>
              </w:rPr>
            </w:pPr>
            <w:r w:rsidRPr="00F10168">
              <w:rPr>
                <w:rFonts w:ascii="Arial" w:hAnsi="Arial" w:cs="Arial"/>
                <w:b/>
                <w:sz w:val="18"/>
                <w:szCs w:val="18"/>
              </w:rPr>
              <w:t>(%)</w:t>
            </w:r>
          </w:p>
        </w:tc>
        <w:tc>
          <w:tcPr>
            <w:tcW w:w="1272" w:type="pct"/>
            <w:vAlign w:val="center"/>
          </w:tcPr>
          <w:p w:rsidR="00C66A67" w:rsidRPr="00F10168" w:rsidRDefault="00C66A67" w:rsidP="003A0984">
            <w:pPr>
              <w:jc w:val="right"/>
              <w:rPr>
                <w:rFonts w:ascii="Arial" w:hAnsi="Arial" w:cs="Arial"/>
                <w:b/>
                <w:sz w:val="18"/>
                <w:szCs w:val="18"/>
              </w:rPr>
            </w:pPr>
            <w:r w:rsidRPr="00F10168">
              <w:rPr>
                <w:rFonts w:ascii="Arial" w:hAnsi="Arial" w:cs="Arial"/>
                <w:b/>
                <w:sz w:val="18"/>
                <w:szCs w:val="18"/>
              </w:rPr>
              <w:t>Lancashire Economy</w:t>
            </w:r>
          </w:p>
          <w:p w:rsidR="00C66A67" w:rsidRPr="00F10168" w:rsidRDefault="00C66A67" w:rsidP="003A0984">
            <w:pPr>
              <w:jc w:val="right"/>
              <w:rPr>
                <w:rFonts w:ascii="Arial" w:hAnsi="Arial" w:cs="Arial"/>
                <w:b/>
                <w:sz w:val="18"/>
                <w:szCs w:val="18"/>
              </w:rPr>
            </w:pPr>
            <w:r w:rsidRPr="00F10168">
              <w:rPr>
                <w:rFonts w:ascii="Arial" w:hAnsi="Arial" w:cs="Arial"/>
                <w:b/>
                <w:sz w:val="18"/>
                <w:szCs w:val="18"/>
              </w:rPr>
              <w:t>(%)</w:t>
            </w:r>
          </w:p>
        </w:tc>
      </w:tr>
      <w:tr w:rsidR="00C66A67" w:rsidRPr="008A419C" w:rsidTr="003F520D">
        <w:trPr>
          <w:cantSplit/>
          <w:trHeight w:val="255"/>
          <w:jc w:val="center"/>
        </w:trPr>
        <w:tc>
          <w:tcPr>
            <w:tcW w:w="2395" w:type="pct"/>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No qualifications</w:t>
            </w:r>
          </w:p>
        </w:tc>
        <w:tc>
          <w:tcPr>
            <w:tcW w:w="1333"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17%</w:t>
            </w:r>
          </w:p>
        </w:tc>
        <w:tc>
          <w:tcPr>
            <w:tcW w:w="1272"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11%</w:t>
            </w:r>
          </w:p>
        </w:tc>
      </w:tr>
      <w:tr w:rsidR="00C66A67" w:rsidRPr="008A419C" w:rsidTr="003F520D">
        <w:trPr>
          <w:cantSplit/>
          <w:trHeight w:val="255"/>
          <w:jc w:val="center"/>
        </w:trPr>
        <w:tc>
          <w:tcPr>
            <w:tcW w:w="2395" w:type="pct"/>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Level 1 qualifications</w:t>
            </w:r>
          </w:p>
        </w:tc>
        <w:tc>
          <w:tcPr>
            <w:tcW w:w="1333"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17%</w:t>
            </w:r>
          </w:p>
        </w:tc>
        <w:tc>
          <w:tcPr>
            <w:tcW w:w="1272"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15%</w:t>
            </w:r>
          </w:p>
        </w:tc>
      </w:tr>
      <w:tr w:rsidR="00C66A67" w:rsidRPr="008A419C" w:rsidTr="003F520D">
        <w:trPr>
          <w:cantSplit/>
          <w:trHeight w:val="255"/>
          <w:jc w:val="center"/>
        </w:trPr>
        <w:tc>
          <w:tcPr>
            <w:tcW w:w="2395" w:type="pct"/>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Level 2 qualifications</w:t>
            </w:r>
          </w:p>
        </w:tc>
        <w:tc>
          <w:tcPr>
            <w:tcW w:w="1333"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24%</w:t>
            </w:r>
          </w:p>
        </w:tc>
        <w:tc>
          <w:tcPr>
            <w:tcW w:w="1272"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18%</w:t>
            </w:r>
          </w:p>
        </w:tc>
      </w:tr>
      <w:tr w:rsidR="00C66A67" w:rsidRPr="008A419C" w:rsidTr="003F520D">
        <w:trPr>
          <w:cantSplit/>
          <w:trHeight w:val="255"/>
          <w:jc w:val="center"/>
        </w:trPr>
        <w:tc>
          <w:tcPr>
            <w:tcW w:w="2395" w:type="pct"/>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Level 3 qualifications</w:t>
            </w:r>
          </w:p>
        </w:tc>
        <w:tc>
          <w:tcPr>
            <w:tcW w:w="1333"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18%</w:t>
            </w:r>
          </w:p>
        </w:tc>
        <w:tc>
          <w:tcPr>
            <w:tcW w:w="1272"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17%</w:t>
            </w:r>
          </w:p>
        </w:tc>
      </w:tr>
      <w:tr w:rsidR="00C66A67" w:rsidRPr="008A419C" w:rsidTr="003F520D">
        <w:trPr>
          <w:cantSplit/>
          <w:trHeight w:val="255"/>
          <w:jc w:val="center"/>
        </w:trPr>
        <w:tc>
          <w:tcPr>
            <w:tcW w:w="2395" w:type="pct"/>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Level 4 qualifications and above</w:t>
            </w:r>
          </w:p>
        </w:tc>
        <w:tc>
          <w:tcPr>
            <w:tcW w:w="1333"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14%</w:t>
            </w:r>
          </w:p>
        </w:tc>
        <w:tc>
          <w:tcPr>
            <w:tcW w:w="1272"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30%</w:t>
            </w:r>
          </w:p>
        </w:tc>
      </w:tr>
      <w:tr w:rsidR="00C66A67" w:rsidRPr="008A419C" w:rsidTr="003F520D">
        <w:trPr>
          <w:cantSplit/>
          <w:trHeight w:val="255"/>
          <w:jc w:val="center"/>
        </w:trPr>
        <w:tc>
          <w:tcPr>
            <w:tcW w:w="2395" w:type="pct"/>
            <w:vAlign w:val="center"/>
          </w:tcPr>
          <w:p w:rsidR="00C66A67" w:rsidRPr="00517430" w:rsidRDefault="00C66A67" w:rsidP="003A0984">
            <w:pPr>
              <w:rPr>
                <w:rFonts w:ascii="Arial" w:hAnsi="Arial" w:cs="Arial"/>
                <w:sz w:val="18"/>
                <w:szCs w:val="18"/>
              </w:rPr>
            </w:pPr>
            <w:r w:rsidRPr="00517430">
              <w:rPr>
                <w:rFonts w:ascii="Arial" w:hAnsi="Arial" w:cs="Arial"/>
                <w:sz w:val="18"/>
                <w:szCs w:val="18"/>
              </w:rPr>
              <w:t>Apprenticeships and other qualifications</w:t>
            </w:r>
          </w:p>
        </w:tc>
        <w:tc>
          <w:tcPr>
            <w:tcW w:w="1333"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10%</w:t>
            </w:r>
          </w:p>
        </w:tc>
        <w:tc>
          <w:tcPr>
            <w:tcW w:w="1272" w:type="pct"/>
            <w:vAlign w:val="center"/>
          </w:tcPr>
          <w:p w:rsidR="00C66A67" w:rsidRPr="00A47E9C" w:rsidRDefault="00C66A67" w:rsidP="003A0984">
            <w:pPr>
              <w:jc w:val="right"/>
              <w:rPr>
                <w:rFonts w:ascii="Arial" w:hAnsi="Arial" w:cs="Arial"/>
                <w:color w:val="000000"/>
                <w:sz w:val="18"/>
                <w:szCs w:val="18"/>
              </w:rPr>
            </w:pPr>
            <w:r w:rsidRPr="00A47E9C">
              <w:rPr>
                <w:rFonts w:ascii="Arial" w:hAnsi="Arial" w:cs="Arial"/>
                <w:color w:val="000000"/>
                <w:sz w:val="18"/>
                <w:szCs w:val="18"/>
              </w:rPr>
              <w:t>9%</w:t>
            </w:r>
          </w:p>
        </w:tc>
      </w:tr>
      <w:tr w:rsidR="00C66A67" w:rsidRPr="008A419C" w:rsidTr="003F520D">
        <w:trPr>
          <w:cantSplit/>
          <w:trHeight w:val="255"/>
          <w:jc w:val="center"/>
        </w:trPr>
        <w:tc>
          <w:tcPr>
            <w:tcW w:w="2395" w:type="pct"/>
            <w:vAlign w:val="center"/>
          </w:tcPr>
          <w:p w:rsidR="00C66A67" w:rsidRPr="00C32AC2" w:rsidRDefault="00C66A67" w:rsidP="003A0984">
            <w:pPr>
              <w:rPr>
                <w:rFonts w:ascii="Arial" w:hAnsi="Arial" w:cs="Arial"/>
                <w:b/>
                <w:sz w:val="18"/>
                <w:szCs w:val="18"/>
              </w:rPr>
            </w:pPr>
            <w:r w:rsidRPr="00C32AC2">
              <w:rPr>
                <w:rFonts w:ascii="Arial" w:hAnsi="Arial" w:cs="Arial"/>
                <w:b/>
                <w:sz w:val="18"/>
                <w:szCs w:val="18"/>
              </w:rPr>
              <w:t>Total</w:t>
            </w:r>
          </w:p>
        </w:tc>
        <w:tc>
          <w:tcPr>
            <w:tcW w:w="1333" w:type="pct"/>
            <w:vAlign w:val="center"/>
          </w:tcPr>
          <w:p w:rsidR="00C66A67" w:rsidRPr="00C32AC2" w:rsidRDefault="00C66A67" w:rsidP="003A0984">
            <w:pPr>
              <w:jc w:val="right"/>
              <w:rPr>
                <w:rFonts w:ascii="Arial" w:hAnsi="Arial" w:cs="Arial"/>
                <w:b/>
                <w:sz w:val="18"/>
                <w:szCs w:val="18"/>
              </w:rPr>
            </w:pPr>
            <w:r w:rsidRPr="00C32AC2">
              <w:rPr>
                <w:rFonts w:ascii="Arial" w:hAnsi="Arial" w:cs="Arial"/>
                <w:b/>
                <w:sz w:val="18"/>
                <w:szCs w:val="18"/>
              </w:rPr>
              <w:t>100%</w:t>
            </w:r>
          </w:p>
        </w:tc>
        <w:tc>
          <w:tcPr>
            <w:tcW w:w="1272" w:type="pct"/>
            <w:vAlign w:val="center"/>
          </w:tcPr>
          <w:p w:rsidR="00C66A67" w:rsidRPr="00C32AC2" w:rsidRDefault="00C66A67" w:rsidP="003A0984">
            <w:pPr>
              <w:jc w:val="right"/>
              <w:rPr>
                <w:rFonts w:ascii="Arial" w:hAnsi="Arial" w:cs="Arial"/>
                <w:b/>
                <w:sz w:val="18"/>
                <w:szCs w:val="18"/>
              </w:rPr>
            </w:pPr>
            <w:r w:rsidRPr="00C32AC2">
              <w:rPr>
                <w:rFonts w:ascii="Arial" w:hAnsi="Arial" w:cs="Arial"/>
                <w:b/>
                <w:sz w:val="18"/>
                <w:szCs w:val="18"/>
              </w:rPr>
              <w:t>100%</w:t>
            </w:r>
          </w:p>
        </w:tc>
      </w:tr>
      <w:tr w:rsidR="00C66A67" w:rsidRPr="008A419C" w:rsidTr="003F520D">
        <w:trPr>
          <w:cantSplit/>
          <w:trHeight w:val="255"/>
          <w:jc w:val="center"/>
        </w:trPr>
        <w:tc>
          <w:tcPr>
            <w:tcW w:w="5000" w:type="pct"/>
            <w:gridSpan w:val="3"/>
            <w:vAlign w:val="center"/>
          </w:tcPr>
          <w:p w:rsidR="00C66A67" w:rsidRPr="006B5960" w:rsidRDefault="00C66A67" w:rsidP="003A0984">
            <w:pPr>
              <w:rPr>
                <w:rFonts w:ascii="Arial" w:hAnsi="Arial" w:cs="Arial"/>
                <w:bCs/>
                <w:iCs/>
                <w:sz w:val="16"/>
                <w:szCs w:val="16"/>
              </w:rPr>
            </w:pPr>
            <w:r w:rsidRPr="00F10168">
              <w:rPr>
                <w:rFonts w:ascii="Arial" w:hAnsi="Arial" w:cs="Arial"/>
                <w:sz w:val="18"/>
                <w:szCs w:val="18"/>
              </w:rPr>
              <w:t>Source: Census and BRES</w:t>
            </w:r>
          </w:p>
        </w:tc>
      </w:tr>
    </w:tbl>
    <w:p w:rsidR="009232EA" w:rsidRPr="009232EA" w:rsidRDefault="009232EA" w:rsidP="009232EA">
      <w:pPr>
        <w:spacing w:before="120" w:after="120" w:line="264" w:lineRule="auto"/>
        <w:jc w:val="both"/>
        <w:rPr>
          <w:rFonts w:ascii="Arial" w:hAnsi="Arial" w:cs="Arial"/>
          <w:b/>
          <w:i/>
          <w:color w:val="6C2768"/>
          <w:sz w:val="4"/>
          <w:szCs w:val="4"/>
          <w:lang w:eastAsia="en-GB"/>
        </w:rPr>
      </w:pPr>
    </w:p>
    <w:p w:rsidR="00C66A67" w:rsidRPr="009232EA" w:rsidRDefault="00C66A67" w:rsidP="009232EA">
      <w:pPr>
        <w:spacing w:before="120" w:after="120" w:line="264" w:lineRule="auto"/>
        <w:jc w:val="both"/>
        <w:rPr>
          <w:rFonts w:ascii="Arial" w:hAnsi="Arial" w:cs="Arial"/>
          <w:b/>
          <w:i/>
          <w:color w:val="6C2768"/>
          <w:sz w:val="20"/>
          <w:szCs w:val="20"/>
          <w:lang w:eastAsia="en-GB"/>
        </w:rPr>
      </w:pPr>
      <w:r w:rsidRPr="009232EA">
        <w:rPr>
          <w:rFonts w:ascii="Arial" w:hAnsi="Arial" w:cs="Arial"/>
          <w:b/>
          <w:i/>
          <w:color w:val="6C2768"/>
          <w:sz w:val="20"/>
          <w:szCs w:val="20"/>
          <w:lang w:eastAsia="en-GB"/>
        </w:rPr>
        <w:t>Occupational Structure</w:t>
      </w:r>
    </w:p>
    <w:p w:rsidR="00C66A67" w:rsidRPr="00685674"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685674">
        <w:rPr>
          <w:rFonts w:cs="Arial"/>
          <w:sz w:val="18"/>
          <w:szCs w:val="18"/>
        </w:rPr>
        <w:t xml:space="preserve">The significance of customer facing activity in the visitor economy is reflected in its occupational structure: sales and customer service staff account for nearly a quarter of the sector’s workforce (23%), compared </w:t>
      </w:r>
      <w:r>
        <w:rPr>
          <w:rFonts w:cs="Arial"/>
          <w:sz w:val="18"/>
          <w:szCs w:val="18"/>
        </w:rPr>
        <w:t xml:space="preserve">with </w:t>
      </w:r>
      <w:r w:rsidRPr="00685674">
        <w:rPr>
          <w:rFonts w:cs="Arial"/>
          <w:sz w:val="18"/>
          <w:szCs w:val="18"/>
        </w:rPr>
        <w:t xml:space="preserve">8% across all </w:t>
      </w:r>
      <w:r w:rsidRPr="00685674">
        <w:rPr>
          <w:rFonts w:cs="Arial"/>
          <w:sz w:val="18"/>
          <w:szCs w:val="18"/>
        </w:rPr>
        <w:lastRenderedPageBreak/>
        <w:t>sectors in the LEP area. Elementary occupations, skilled trades and managerial roles are also over-represented in the visitor economy.</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8"/>
        <w:gridCol w:w="964"/>
        <w:gridCol w:w="964"/>
        <w:gridCol w:w="1167"/>
      </w:tblGrid>
      <w:tr w:rsidR="00C66A67" w:rsidRPr="009C415C" w:rsidTr="003F520D">
        <w:trPr>
          <w:cantSplit/>
          <w:trHeight w:val="323"/>
        </w:trPr>
        <w:tc>
          <w:tcPr>
            <w:tcW w:w="5000" w:type="pct"/>
            <w:gridSpan w:val="4"/>
            <w:shd w:val="clear" w:color="auto" w:fill="660066"/>
            <w:vAlign w:val="center"/>
          </w:tcPr>
          <w:p w:rsidR="00C66A67" w:rsidRPr="009C415C" w:rsidRDefault="00C66A67" w:rsidP="003A0984">
            <w:pPr>
              <w:rPr>
                <w:rFonts w:ascii="Arial" w:hAnsi="Arial" w:cs="Arial"/>
                <w:b/>
                <w:bCs/>
                <w:iCs/>
                <w:color w:val="FFFFFF" w:themeColor="background1"/>
                <w:sz w:val="18"/>
                <w:szCs w:val="18"/>
              </w:rPr>
            </w:pPr>
            <w:bookmarkStart w:id="67" w:name="_Toc372570445"/>
            <w:bookmarkStart w:id="68" w:name="_Toc372639801"/>
            <w:bookmarkStart w:id="69" w:name="_Toc372651958"/>
            <w:bookmarkStart w:id="70" w:name="_Toc372667553"/>
            <w:bookmarkStart w:id="71" w:name="_Toc380653189"/>
            <w:bookmarkStart w:id="72" w:name="_Toc380761203"/>
            <w:bookmarkStart w:id="73" w:name="_Toc384294310"/>
            <w:bookmarkStart w:id="74" w:name="_Toc384294685"/>
            <w:r w:rsidRPr="009C415C">
              <w:rPr>
                <w:rFonts w:ascii="Arial" w:hAnsi="Arial" w:cs="Arial"/>
                <w:b/>
                <w:bCs/>
                <w:iCs/>
                <w:sz w:val="18"/>
                <w:szCs w:val="18"/>
              </w:rPr>
              <w:t>Lancashire</w:t>
            </w:r>
            <w:r w:rsidRPr="009C415C">
              <w:rPr>
                <w:rFonts w:ascii="Arial" w:hAnsi="Arial" w:cs="Arial"/>
                <w:b/>
                <w:bCs/>
                <w:iCs/>
                <w:color w:val="FFFFFF" w:themeColor="background1"/>
                <w:sz w:val="18"/>
                <w:szCs w:val="18"/>
              </w:rPr>
              <w:t xml:space="preserve"> Occupational Profile</w:t>
            </w:r>
            <w:bookmarkEnd w:id="67"/>
            <w:bookmarkEnd w:id="68"/>
            <w:bookmarkEnd w:id="69"/>
            <w:bookmarkEnd w:id="70"/>
            <w:bookmarkEnd w:id="71"/>
            <w:bookmarkEnd w:id="72"/>
            <w:bookmarkEnd w:id="73"/>
            <w:bookmarkEnd w:id="74"/>
            <w:r w:rsidRPr="009C415C">
              <w:rPr>
                <w:rFonts w:ascii="Arial" w:hAnsi="Arial" w:cs="Arial"/>
                <w:b/>
                <w:bCs/>
                <w:iCs/>
                <w:color w:val="FFFFFF" w:themeColor="background1"/>
                <w:sz w:val="18"/>
                <w:szCs w:val="18"/>
              </w:rPr>
              <w:t xml:space="preserve"> </w:t>
            </w:r>
            <w:r>
              <w:rPr>
                <w:rFonts w:ascii="Arial" w:hAnsi="Arial" w:cs="Arial"/>
                <w:b/>
                <w:bCs/>
                <w:iCs/>
                <w:color w:val="FFFFFF" w:themeColor="background1"/>
                <w:sz w:val="18"/>
                <w:szCs w:val="18"/>
              </w:rPr>
              <w:t>(</w:t>
            </w:r>
            <w:r w:rsidRPr="009C415C">
              <w:rPr>
                <w:rFonts w:ascii="Arial" w:hAnsi="Arial" w:cs="Arial"/>
                <w:b/>
                <w:bCs/>
                <w:iCs/>
                <w:color w:val="FFFFFF" w:themeColor="background1"/>
                <w:sz w:val="18"/>
                <w:szCs w:val="18"/>
              </w:rPr>
              <w:t>2013</w:t>
            </w:r>
            <w:r>
              <w:rPr>
                <w:rFonts w:ascii="Arial" w:hAnsi="Arial" w:cs="Arial"/>
                <w:b/>
                <w:bCs/>
                <w:iCs/>
                <w:color w:val="FFFFFF" w:themeColor="background1"/>
                <w:sz w:val="18"/>
                <w:szCs w:val="18"/>
              </w:rPr>
              <w:t>)</w:t>
            </w:r>
          </w:p>
        </w:tc>
      </w:tr>
      <w:tr w:rsidR="00C66A67" w:rsidRPr="00406DBE" w:rsidTr="003F520D">
        <w:trPr>
          <w:cantSplit/>
          <w:trHeight w:val="364"/>
        </w:trPr>
        <w:tc>
          <w:tcPr>
            <w:tcW w:w="2767" w:type="pct"/>
            <w:vAlign w:val="center"/>
          </w:tcPr>
          <w:p w:rsidR="00C66A67" w:rsidRPr="0043414A" w:rsidRDefault="00C66A67" w:rsidP="003A0984">
            <w:pPr>
              <w:jc w:val="center"/>
              <w:rPr>
                <w:rFonts w:ascii="Arial" w:hAnsi="Arial" w:cs="Arial"/>
                <w:bCs/>
                <w:iCs/>
                <w:sz w:val="18"/>
                <w:szCs w:val="18"/>
              </w:rPr>
            </w:pPr>
          </w:p>
        </w:tc>
        <w:tc>
          <w:tcPr>
            <w:tcW w:w="1474" w:type="pct"/>
            <w:gridSpan w:val="2"/>
            <w:vAlign w:val="center"/>
          </w:tcPr>
          <w:p w:rsidR="00C66A67" w:rsidRPr="00483AB2" w:rsidRDefault="00C66A67" w:rsidP="003A0984">
            <w:pPr>
              <w:jc w:val="center"/>
              <w:rPr>
                <w:rFonts w:ascii="Arial" w:hAnsi="Arial" w:cs="Arial"/>
                <w:b/>
                <w:bCs/>
                <w:iCs/>
                <w:sz w:val="18"/>
                <w:szCs w:val="18"/>
              </w:rPr>
            </w:pPr>
            <w:r w:rsidRPr="00C62FF7">
              <w:rPr>
                <w:rFonts w:ascii="Arial" w:hAnsi="Arial" w:cs="Arial"/>
                <w:b/>
                <w:bCs/>
                <w:iCs/>
                <w:sz w:val="18"/>
                <w:szCs w:val="18"/>
              </w:rPr>
              <w:t>Visitor Economy</w:t>
            </w:r>
          </w:p>
        </w:tc>
        <w:tc>
          <w:tcPr>
            <w:tcW w:w="759" w:type="pct"/>
            <w:vAlign w:val="center"/>
          </w:tcPr>
          <w:p w:rsidR="00C66A67" w:rsidRPr="00483AB2" w:rsidRDefault="00C66A67" w:rsidP="003A0984">
            <w:pPr>
              <w:jc w:val="right"/>
              <w:rPr>
                <w:rFonts w:ascii="Arial" w:hAnsi="Arial" w:cs="Arial"/>
                <w:b/>
                <w:bCs/>
                <w:iCs/>
                <w:sz w:val="18"/>
                <w:szCs w:val="18"/>
              </w:rPr>
            </w:pPr>
            <w:r>
              <w:rPr>
                <w:rFonts w:ascii="Arial" w:hAnsi="Arial" w:cs="Arial"/>
                <w:b/>
                <w:bCs/>
                <w:iCs/>
                <w:sz w:val="18"/>
                <w:szCs w:val="18"/>
              </w:rPr>
              <w:t xml:space="preserve">Lancashire Economy </w:t>
            </w:r>
          </w:p>
        </w:tc>
      </w:tr>
      <w:tr w:rsidR="00C66A67" w:rsidRPr="00406DBE" w:rsidTr="003F520D">
        <w:trPr>
          <w:cantSplit/>
        </w:trPr>
        <w:tc>
          <w:tcPr>
            <w:tcW w:w="2767" w:type="pct"/>
            <w:vAlign w:val="center"/>
          </w:tcPr>
          <w:p w:rsidR="00C66A67" w:rsidRPr="0043414A" w:rsidRDefault="00C66A67" w:rsidP="003A0984">
            <w:pPr>
              <w:jc w:val="center"/>
              <w:rPr>
                <w:rFonts w:ascii="Arial" w:hAnsi="Arial" w:cs="Arial"/>
                <w:bCs/>
                <w:iCs/>
                <w:sz w:val="18"/>
                <w:szCs w:val="18"/>
              </w:rPr>
            </w:pPr>
          </w:p>
        </w:tc>
        <w:tc>
          <w:tcPr>
            <w:tcW w:w="737" w:type="pct"/>
            <w:vAlign w:val="center"/>
          </w:tcPr>
          <w:p w:rsidR="00C66A67" w:rsidRPr="00483AB2" w:rsidRDefault="00C66A67" w:rsidP="003A0984">
            <w:pPr>
              <w:jc w:val="right"/>
              <w:rPr>
                <w:rFonts w:ascii="Arial" w:hAnsi="Arial" w:cs="Arial"/>
                <w:b/>
                <w:bCs/>
                <w:iCs/>
                <w:sz w:val="18"/>
                <w:szCs w:val="18"/>
              </w:rPr>
            </w:pPr>
            <w:r w:rsidRPr="00483AB2">
              <w:rPr>
                <w:rFonts w:ascii="Arial" w:hAnsi="Arial" w:cs="Arial"/>
                <w:b/>
                <w:bCs/>
                <w:iCs/>
                <w:sz w:val="18"/>
                <w:szCs w:val="18"/>
              </w:rPr>
              <w:t>No.</w:t>
            </w:r>
          </w:p>
        </w:tc>
        <w:tc>
          <w:tcPr>
            <w:tcW w:w="736" w:type="pct"/>
            <w:vAlign w:val="center"/>
          </w:tcPr>
          <w:p w:rsidR="00C66A67" w:rsidRPr="00483AB2" w:rsidRDefault="00C66A67" w:rsidP="003A0984">
            <w:pPr>
              <w:jc w:val="right"/>
              <w:rPr>
                <w:rFonts w:ascii="Arial" w:hAnsi="Arial" w:cs="Arial"/>
                <w:b/>
                <w:bCs/>
                <w:iCs/>
                <w:sz w:val="18"/>
                <w:szCs w:val="18"/>
              </w:rPr>
            </w:pPr>
            <w:r w:rsidRPr="00483AB2">
              <w:rPr>
                <w:rFonts w:ascii="Arial" w:hAnsi="Arial" w:cs="Arial"/>
                <w:b/>
                <w:bCs/>
                <w:iCs/>
                <w:sz w:val="18"/>
                <w:szCs w:val="18"/>
              </w:rPr>
              <w:t>%</w:t>
            </w:r>
          </w:p>
        </w:tc>
        <w:tc>
          <w:tcPr>
            <w:tcW w:w="759" w:type="pct"/>
            <w:vAlign w:val="center"/>
          </w:tcPr>
          <w:p w:rsidR="00C66A67" w:rsidRPr="00483AB2" w:rsidRDefault="00C66A67" w:rsidP="003A0984">
            <w:pPr>
              <w:jc w:val="right"/>
              <w:rPr>
                <w:rFonts w:ascii="Arial" w:hAnsi="Arial" w:cs="Arial"/>
                <w:b/>
                <w:bCs/>
                <w:iCs/>
                <w:sz w:val="18"/>
                <w:szCs w:val="18"/>
              </w:rPr>
            </w:pPr>
            <w:r w:rsidRPr="00483AB2">
              <w:rPr>
                <w:rFonts w:ascii="Arial" w:hAnsi="Arial" w:cs="Arial"/>
                <w:b/>
                <w:bCs/>
                <w:iCs/>
                <w:sz w:val="18"/>
                <w:szCs w:val="18"/>
              </w:rPr>
              <w:t>%</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 xml:space="preserve">Sales and customer service </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11,600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23%</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8%</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 xml:space="preserve">Elementary </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8,600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17%</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11%</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 xml:space="preserve">Skilled trades </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7,300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14%</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12%</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Managers,</w:t>
            </w:r>
            <w:r>
              <w:rPr>
                <w:rFonts w:ascii="Arial" w:hAnsi="Arial" w:cs="Arial"/>
                <w:sz w:val="18"/>
                <w:szCs w:val="18"/>
              </w:rPr>
              <w:t xml:space="preserve"> directors and senior officials</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6,800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13%</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10%</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 xml:space="preserve">Administrative and secretarial </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5,600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11%</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12%</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Associate prof</w:t>
            </w:r>
            <w:r>
              <w:rPr>
                <w:rFonts w:ascii="Arial" w:hAnsi="Arial" w:cs="Arial"/>
                <w:sz w:val="18"/>
                <w:szCs w:val="18"/>
              </w:rPr>
              <w:t>.</w:t>
            </w:r>
            <w:r w:rsidRPr="00406DBE">
              <w:rPr>
                <w:rFonts w:ascii="Arial" w:hAnsi="Arial" w:cs="Arial"/>
                <w:sz w:val="18"/>
                <w:szCs w:val="18"/>
              </w:rPr>
              <w:t xml:space="preserve"> &amp; tech</w:t>
            </w:r>
            <w:r>
              <w:rPr>
                <w:rFonts w:ascii="Arial" w:hAnsi="Arial" w:cs="Arial"/>
                <w:sz w:val="18"/>
                <w:szCs w:val="18"/>
              </w:rPr>
              <w:t>.</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3,200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6%</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12%</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 xml:space="preserve">Process, plant and machine operatives </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2,700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5%</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7%</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 xml:space="preserve">Caring, leisure and other service </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2,400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5%</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11%</w:t>
            </w:r>
          </w:p>
        </w:tc>
      </w:tr>
      <w:tr w:rsidR="00C66A67" w:rsidRPr="0043414A" w:rsidTr="003F520D">
        <w:trPr>
          <w:cantSplit/>
        </w:trPr>
        <w:tc>
          <w:tcPr>
            <w:tcW w:w="2767" w:type="pct"/>
            <w:vAlign w:val="bottom"/>
          </w:tcPr>
          <w:p w:rsidR="00C66A67" w:rsidRPr="00406DBE" w:rsidRDefault="00C66A67" w:rsidP="003A0984">
            <w:pPr>
              <w:spacing w:line="264" w:lineRule="auto"/>
              <w:rPr>
                <w:rFonts w:ascii="Arial" w:hAnsi="Arial" w:cs="Arial"/>
                <w:sz w:val="18"/>
                <w:szCs w:val="18"/>
              </w:rPr>
            </w:pPr>
            <w:r w:rsidRPr="00406DBE">
              <w:rPr>
                <w:rFonts w:ascii="Arial" w:hAnsi="Arial" w:cs="Arial"/>
                <w:sz w:val="18"/>
                <w:szCs w:val="18"/>
              </w:rPr>
              <w:t xml:space="preserve">Professional </w:t>
            </w:r>
          </w:p>
        </w:tc>
        <w:tc>
          <w:tcPr>
            <w:tcW w:w="737" w:type="pct"/>
            <w:vAlign w:val="bottom"/>
          </w:tcPr>
          <w:p w:rsidR="00C66A67" w:rsidRPr="00406DBE" w:rsidRDefault="00C66A67" w:rsidP="003A0984">
            <w:pPr>
              <w:spacing w:line="264" w:lineRule="auto"/>
              <w:jc w:val="right"/>
              <w:rPr>
                <w:rFonts w:ascii="Arial" w:hAnsi="Arial" w:cs="Arial"/>
                <w:sz w:val="18"/>
                <w:szCs w:val="20"/>
              </w:rPr>
            </w:pPr>
            <w:r w:rsidRPr="00406DBE">
              <w:rPr>
                <w:rFonts w:ascii="Arial" w:hAnsi="Arial" w:cs="Arial"/>
                <w:sz w:val="18"/>
                <w:szCs w:val="20"/>
              </w:rPr>
              <w:t>2,300</w:t>
            </w:r>
          </w:p>
        </w:tc>
        <w:tc>
          <w:tcPr>
            <w:tcW w:w="736"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5%</w:t>
            </w:r>
          </w:p>
        </w:tc>
        <w:tc>
          <w:tcPr>
            <w:tcW w:w="759" w:type="pct"/>
            <w:vAlign w:val="bottom"/>
          </w:tcPr>
          <w:p w:rsidR="00C66A67" w:rsidRPr="00406DBE" w:rsidRDefault="00C66A67" w:rsidP="003A0984">
            <w:pPr>
              <w:spacing w:line="264" w:lineRule="auto"/>
              <w:jc w:val="right"/>
              <w:rPr>
                <w:rFonts w:ascii="Arial" w:hAnsi="Arial" w:cs="Arial"/>
                <w:sz w:val="18"/>
                <w:szCs w:val="18"/>
              </w:rPr>
            </w:pPr>
            <w:r w:rsidRPr="00406DBE">
              <w:rPr>
                <w:rFonts w:ascii="Arial" w:hAnsi="Arial" w:cs="Arial"/>
                <w:sz w:val="18"/>
                <w:szCs w:val="18"/>
              </w:rPr>
              <w:t>17%</w:t>
            </w:r>
          </w:p>
        </w:tc>
      </w:tr>
      <w:tr w:rsidR="00C66A67" w:rsidRPr="00015234" w:rsidTr="003F520D">
        <w:trPr>
          <w:cantSplit/>
        </w:trPr>
        <w:tc>
          <w:tcPr>
            <w:tcW w:w="2767" w:type="pct"/>
            <w:vAlign w:val="bottom"/>
          </w:tcPr>
          <w:p w:rsidR="00C66A67" w:rsidRPr="00015234" w:rsidRDefault="00C66A67" w:rsidP="003A0984">
            <w:pPr>
              <w:spacing w:line="264" w:lineRule="auto"/>
              <w:rPr>
                <w:rFonts w:ascii="Arial" w:hAnsi="Arial" w:cs="Arial"/>
                <w:b/>
                <w:sz w:val="18"/>
                <w:szCs w:val="18"/>
              </w:rPr>
            </w:pPr>
            <w:r w:rsidRPr="00015234">
              <w:rPr>
                <w:rFonts w:ascii="Arial" w:hAnsi="Arial" w:cs="Arial"/>
                <w:b/>
                <w:sz w:val="18"/>
                <w:szCs w:val="18"/>
              </w:rPr>
              <w:t>Total</w:t>
            </w:r>
          </w:p>
        </w:tc>
        <w:tc>
          <w:tcPr>
            <w:tcW w:w="737" w:type="pct"/>
            <w:vAlign w:val="bottom"/>
          </w:tcPr>
          <w:p w:rsidR="00C66A67" w:rsidRPr="00015234" w:rsidRDefault="00C66A67" w:rsidP="003A0984">
            <w:pPr>
              <w:spacing w:line="264" w:lineRule="auto"/>
              <w:jc w:val="right"/>
              <w:rPr>
                <w:rFonts w:ascii="Arial" w:hAnsi="Arial" w:cs="Arial"/>
                <w:b/>
                <w:sz w:val="18"/>
                <w:szCs w:val="20"/>
              </w:rPr>
            </w:pPr>
            <w:r w:rsidRPr="00015234">
              <w:rPr>
                <w:rFonts w:ascii="Arial" w:hAnsi="Arial" w:cs="Arial"/>
                <w:b/>
                <w:sz w:val="18"/>
                <w:szCs w:val="20"/>
              </w:rPr>
              <w:t>50,500</w:t>
            </w:r>
          </w:p>
        </w:tc>
        <w:tc>
          <w:tcPr>
            <w:tcW w:w="736" w:type="pct"/>
            <w:vAlign w:val="bottom"/>
          </w:tcPr>
          <w:p w:rsidR="00C66A67" w:rsidRPr="00015234" w:rsidRDefault="00C66A67" w:rsidP="003A0984">
            <w:pPr>
              <w:spacing w:line="264" w:lineRule="auto"/>
              <w:jc w:val="right"/>
              <w:rPr>
                <w:rFonts w:ascii="Arial" w:hAnsi="Arial" w:cs="Arial"/>
                <w:b/>
                <w:sz w:val="18"/>
                <w:szCs w:val="18"/>
              </w:rPr>
            </w:pPr>
            <w:r w:rsidRPr="00015234">
              <w:rPr>
                <w:rFonts w:ascii="Arial" w:hAnsi="Arial" w:cs="Arial"/>
                <w:b/>
                <w:sz w:val="18"/>
                <w:szCs w:val="18"/>
              </w:rPr>
              <w:t>100%</w:t>
            </w:r>
          </w:p>
        </w:tc>
        <w:tc>
          <w:tcPr>
            <w:tcW w:w="759" w:type="pct"/>
            <w:vAlign w:val="bottom"/>
          </w:tcPr>
          <w:p w:rsidR="00C66A67" w:rsidRPr="00015234" w:rsidRDefault="00C66A67" w:rsidP="003A0984">
            <w:pPr>
              <w:spacing w:line="264" w:lineRule="auto"/>
              <w:jc w:val="right"/>
              <w:rPr>
                <w:rFonts w:ascii="Arial" w:hAnsi="Arial" w:cs="Arial"/>
                <w:b/>
                <w:sz w:val="18"/>
                <w:szCs w:val="18"/>
              </w:rPr>
            </w:pPr>
            <w:r w:rsidRPr="00015234">
              <w:rPr>
                <w:rFonts w:ascii="Arial" w:hAnsi="Arial" w:cs="Arial"/>
                <w:b/>
                <w:sz w:val="18"/>
                <w:szCs w:val="18"/>
              </w:rPr>
              <w:t>100%</w:t>
            </w:r>
          </w:p>
        </w:tc>
      </w:tr>
      <w:tr w:rsidR="00C66A67" w:rsidRPr="0043414A" w:rsidTr="003F520D">
        <w:trPr>
          <w:cantSplit/>
        </w:trPr>
        <w:tc>
          <w:tcPr>
            <w:tcW w:w="5000" w:type="pct"/>
            <w:gridSpan w:val="4"/>
          </w:tcPr>
          <w:p w:rsidR="00C66A67" w:rsidRPr="0043414A" w:rsidRDefault="00C66A67" w:rsidP="003A0984">
            <w:pPr>
              <w:rPr>
                <w:rFonts w:ascii="Arial" w:hAnsi="Arial" w:cs="Arial"/>
                <w:bCs/>
                <w:iCs/>
                <w:sz w:val="18"/>
                <w:szCs w:val="18"/>
              </w:rPr>
            </w:pPr>
            <w:bookmarkStart w:id="75" w:name="_Toc372119140"/>
            <w:bookmarkStart w:id="76" w:name="_Toc372570450"/>
            <w:bookmarkStart w:id="77" w:name="_Toc372639806"/>
            <w:bookmarkStart w:id="78" w:name="_Toc372651963"/>
            <w:bookmarkStart w:id="79" w:name="_Toc372667558"/>
            <w:bookmarkStart w:id="80" w:name="_Toc380653194"/>
            <w:bookmarkStart w:id="81" w:name="_Toc380761208"/>
            <w:bookmarkStart w:id="82" w:name="_Toc384294315"/>
            <w:bookmarkStart w:id="83" w:name="_Toc384294690"/>
            <w:r w:rsidRPr="0043414A">
              <w:rPr>
                <w:rFonts w:ascii="Arial" w:hAnsi="Arial" w:cs="Arial"/>
                <w:bCs/>
                <w:iCs/>
                <w:sz w:val="18"/>
                <w:szCs w:val="18"/>
              </w:rPr>
              <w:t>Source:</w:t>
            </w:r>
            <w:bookmarkEnd w:id="75"/>
            <w:r w:rsidRPr="0043414A">
              <w:rPr>
                <w:rFonts w:ascii="Arial" w:hAnsi="Arial" w:cs="Arial"/>
                <w:bCs/>
                <w:iCs/>
                <w:sz w:val="18"/>
                <w:szCs w:val="18"/>
              </w:rPr>
              <w:t xml:space="preserve"> ekosgen estimates based on Annual Population Survey</w:t>
            </w:r>
            <w:bookmarkEnd w:id="76"/>
            <w:bookmarkEnd w:id="77"/>
            <w:bookmarkEnd w:id="78"/>
            <w:bookmarkEnd w:id="79"/>
            <w:bookmarkEnd w:id="80"/>
            <w:bookmarkEnd w:id="81"/>
            <w:bookmarkEnd w:id="82"/>
            <w:bookmarkEnd w:id="83"/>
            <w:r w:rsidRPr="0043414A">
              <w:rPr>
                <w:rFonts w:ascii="Arial" w:hAnsi="Arial" w:cs="Arial"/>
                <w:bCs/>
                <w:iCs/>
                <w:sz w:val="18"/>
                <w:szCs w:val="18"/>
              </w:rPr>
              <w:t xml:space="preserve"> </w:t>
            </w:r>
            <w:r>
              <w:rPr>
                <w:rFonts w:ascii="Arial" w:hAnsi="Arial" w:cs="Arial"/>
                <w:bCs/>
                <w:iCs/>
                <w:sz w:val="18"/>
                <w:szCs w:val="18"/>
              </w:rPr>
              <w:t>and Business Register and Employment Survey.  Note: Profile relates to those employed by businesses in Lancashire (workplace based).</w:t>
            </w:r>
          </w:p>
        </w:tc>
      </w:tr>
    </w:tbl>
    <w:p w:rsidR="00C66A67" w:rsidRPr="00685674" w:rsidRDefault="00C66A67" w:rsidP="00C66A67">
      <w:pPr>
        <w:tabs>
          <w:tab w:val="num" w:pos="860"/>
          <w:tab w:val="num" w:pos="1105"/>
        </w:tabs>
        <w:spacing w:before="360" w:after="120" w:line="288" w:lineRule="auto"/>
        <w:jc w:val="both"/>
        <w:rPr>
          <w:rFonts w:ascii="Arial" w:hAnsi="Arial" w:cs="Arial"/>
          <w:b/>
          <w:color w:val="660066"/>
          <w:sz w:val="20"/>
          <w:szCs w:val="20"/>
        </w:rPr>
      </w:pPr>
      <w:bookmarkStart w:id="84" w:name="_Toc372570451"/>
      <w:bookmarkStart w:id="85" w:name="_Toc372639807"/>
      <w:bookmarkStart w:id="86" w:name="_Toc372651964"/>
      <w:bookmarkStart w:id="87" w:name="_Toc372667559"/>
      <w:bookmarkStart w:id="88" w:name="_Toc380653195"/>
      <w:bookmarkStart w:id="89" w:name="_Toc380761209"/>
      <w:bookmarkStart w:id="90" w:name="_Toc384294316"/>
      <w:bookmarkStart w:id="91" w:name="_Toc384294691"/>
      <w:bookmarkStart w:id="92" w:name="_Toc372119141"/>
      <w:r w:rsidRPr="009232EA">
        <w:rPr>
          <w:rFonts w:ascii="Arial" w:hAnsi="Arial" w:cs="Arial"/>
          <w:b/>
          <w:i/>
          <w:color w:val="6C2768"/>
          <w:sz w:val="20"/>
          <w:szCs w:val="20"/>
          <w:lang w:eastAsia="en-GB"/>
        </w:rPr>
        <w:t>Hours Worked</w:t>
      </w:r>
      <w:r w:rsidRPr="00685674">
        <w:rPr>
          <w:rFonts w:ascii="Arial" w:hAnsi="Arial" w:cs="Arial"/>
          <w:b/>
          <w:color w:val="660066"/>
          <w:sz w:val="20"/>
          <w:szCs w:val="20"/>
          <w:vertAlign w:val="superscript"/>
        </w:rPr>
        <w:footnoteReference w:id="30"/>
      </w:r>
    </w:p>
    <w:p w:rsidR="009232EA" w:rsidRDefault="00C66A67" w:rsidP="009232EA">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685674">
        <w:rPr>
          <w:rFonts w:cs="Arial"/>
          <w:sz w:val="18"/>
          <w:szCs w:val="18"/>
        </w:rPr>
        <w:t xml:space="preserve">A high proportion of visitor economy employment in Lancashire is part time.  As a consequence, when compared with the Lancashire economy as a whole, full time working is 25 percentage points below the average (influenced, of course, by the seasonality of the tourism industry).  </w:t>
      </w:r>
    </w:p>
    <w:p w:rsidR="009232EA" w:rsidRDefault="009232EA" w:rsidP="009232EA">
      <w:pPr>
        <w:pStyle w:val="normalnumbered"/>
        <w:tabs>
          <w:tab w:val="clear" w:pos="2666"/>
          <w:tab w:val="num" w:pos="2240"/>
        </w:tabs>
        <w:spacing w:line="264" w:lineRule="auto"/>
        <w:ind w:left="0" w:right="40" w:firstLine="0"/>
        <w:rPr>
          <w:rFonts w:cs="Arial"/>
          <w:sz w:val="18"/>
          <w:szCs w:val="18"/>
        </w:rPr>
      </w:pPr>
    </w:p>
    <w:p w:rsidR="009232EA" w:rsidRDefault="009232EA" w:rsidP="009232EA">
      <w:pPr>
        <w:pStyle w:val="normalnumbered"/>
        <w:tabs>
          <w:tab w:val="clear" w:pos="2666"/>
          <w:tab w:val="num" w:pos="2240"/>
        </w:tabs>
        <w:spacing w:line="264" w:lineRule="auto"/>
        <w:ind w:left="0" w:right="40" w:firstLine="0"/>
        <w:rPr>
          <w:rFonts w:cs="Arial"/>
          <w:sz w:val="18"/>
          <w:szCs w:val="18"/>
        </w:rPr>
      </w:pPr>
    </w:p>
    <w:p w:rsidR="009232EA" w:rsidRPr="009232EA" w:rsidRDefault="009232EA" w:rsidP="009232EA">
      <w:pPr>
        <w:pStyle w:val="normalnumbered"/>
        <w:tabs>
          <w:tab w:val="clear" w:pos="2666"/>
          <w:tab w:val="num" w:pos="2240"/>
        </w:tabs>
        <w:spacing w:line="264" w:lineRule="auto"/>
        <w:ind w:left="0" w:right="40" w:firstLine="0"/>
        <w:rPr>
          <w:rFonts w:cs="Arial"/>
          <w:sz w:val="18"/>
          <w:szCs w:val="18"/>
        </w:rPr>
      </w:pPr>
    </w:p>
    <w:tbl>
      <w:tblPr>
        <w:tblW w:w="6535" w:type="dxa"/>
        <w:tblInd w:w="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75"/>
        <w:gridCol w:w="1630"/>
        <w:gridCol w:w="1630"/>
      </w:tblGrid>
      <w:tr w:rsidR="00C66A67" w:rsidRPr="00F92BA3" w:rsidTr="003F520D">
        <w:trPr>
          <w:trHeight w:val="282"/>
        </w:trPr>
        <w:tc>
          <w:tcPr>
            <w:tcW w:w="6535" w:type="dxa"/>
            <w:gridSpan w:val="3"/>
            <w:shd w:val="clear" w:color="auto" w:fill="660066"/>
            <w:noWrap/>
            <w:vAlign w:val="center"/>
            <w:hideMark/>
          </w:tcPr>
          <w:p w:rsidR="00C66A67" w:rsidRPr="00F92BA3" w:rsidRDefault="00C66A67" w:rsidP="003A0984">
            <w:pPr>
              <w:rPr>
                <w:rFonts w:ascii="Arial" w:hAnsi="Arial" w:cs="Arial"/>
                <w:b/>
                <w:color w:val="FFFFFF" w:themeColor="background1"/>
                <w:sz w:val="18"/>
                <w:szCs w:val="18"/>
              </w:rPr>
            </w:pPr>
            <w:r w:rsidRPr="00F92BA3">
              <w:rPr>
                <w:rFonts w:ascii="Arial" w:hAnsi="Arial" w:cs="Arial"/>
                <w:b/>
                <w:color w:val="FFFFFF" w:themeColor="background1"/>
                <w:sz w:val="18"/>
                <w:szCs w:val="18"/>
              </w:rPr>
              <w:lastRenderedPageBreak/>
              <w:t xml:space="preserve">Lancashire Employees by Full Time and Part Time Working </w:t>
            </w:r>
            <w:r>
              <w:rPr>
                <w:rFonts w:ascii="Arial" w:hAnsi="Arial" w:cs="Arial"/>
                <w:b/>
                <w:color w:val="FFFFFF" w:themeColor="background1"/>
                <w:sz w:val="18"/>
                <w:szCs w:val="18"/>
              </w:rPr>
              <w:t>(</w:t>
            </w:r>
            <w:r w:rsidRPr="00F92BA3">
              <w:rPr>
                <w:rFonts w:ascii="Arial" w:hAnsi="Arial" w:cs="Arial"/>
                <w:b/>
                <w:color w:val="FFFFFF" w:themeColor="background1"/>
                <w:sz w:val="18"/>
                <w:szCs w:val="18"/>
              </w:rPr>
              <w:t>2013</w:t>
            </w:r>
            <w:r>
              <w:rPr>
                <w:rFonts w:ascii="Arial" w:hAnsi="Arial" w:cs="Arial"/>
                <w:b/>
                <w:color w:val="FFFFFF" w:themeColor="background1"/>
                <w:sz w:val="18"/>
                <w:szCs w:val="18"/>
              </w:rPr>
              <w:t>)</w:t>
            </w:r>
          </w:p>
        </w:tc>
      </w:tr>
      <w:tr w:rsidR="00C66A67" w:rsidRPr="00F92BA3" w:rsidTr="003F520D">
        <w:trPr>
          <w:trHeight w:val="255"/>
        </w:trPr>
        <w:tc>
          <w:tcPr>
            <w:tcW w:w="3275" w:type="dxa"/>
            <w:shd w:val="clear" w:color="auto" w:fill="auto"/>
            <w:noWrap/>
            <w:vAlign w:val="center"/>
            <w:hideMark/>
          </w:tcPr>
          <w:p w:rsidR="00C66A67" w:rsidRPr="00F92BA3" w:rsidRDefault="00C66A67" w:rsidP="003A0984">
            <w:pPr>
              <w:jc w:val="center"/>
              <w:rPr>
                <w:rFonts w:ascii="Arial" w:hAnsi="Arial" w:cs="Arial"/>
                <w:sz w:val="18"/>
                <w:szCs w:val="18"/>
              </w:rPr>
            </w:pPr>
          </w:p>
        </w:tc>
        <w:tc>
          <w:tcPr>
            <w:tcW w:w="1630" w:type="dxa"/>
            <w:shd w:val="clear" w:color="auto" w:fill="auto"/>
            <w:noWrap/>
            <w:vAlign w:val="center"/>
            <w:hideMark/>
          </w:tcPr>
          <w:p w:rsidR="00C66A67" w:rsidRPr="00C62FF7" w:rsidRDefault="00C66A67" w:rsidP="003A0984">
            <w:pPr>
              <w:jc w:val="right"/>
              <w:rPr>
                <w:rFonts w:ascii="Arial" w:hAnsi="Arial" w:cs="Arial"/>
                <w:b/>
                <w:sz w:val="18"/>
                <w:szCs w:val="18"/>
              </w:rPr>
            </w:pPr>
            <w:r w:rsidRPr="00C62FF7">
              <w:rPr>
                <w:rFonts w:ascii="Arial" w:hAnsi="Arial" w:cs="Arial"/>
                <w:b/>
                <w:sz w:val="18"/>
                <w:szCs w:val="18"/>
              </w:rPr>
              <w:t>Full time</w:t>
            </w:r>
          </w:p>
        </w:tc>
        <w:tc>
          <w:tcPr>
            <w:tcW w:w="1630" w:type="dxa"/>
            <w:shd w:val="clear" w:color="auto" w:fill="auto"/>
            <w:noWrap/>
            <w:vAlign w:val="center"/>
            <w:hideMark/>
          </w:tcPr>
          <w:p w:rsidR="00C66A67" w:rsidRPr="00C62FF7" w:rsidRDefault="00C66A67" w:rsidP="003A0984">
            <w:pPr>
              <w:jc w:val="right"/>
              <w:rPr>
                <w:rFonts w:ascii="Arial" w:hAnsi="Arial" w:cs="Arial"/>
                <w:b/>
                <w:sz w:val="18"/>
                <w:szCs w:val="18"/>
              </w:rPr>
            </w:pPr>
            <w:r w:rsidRPr="00C62FF7">
              <w:rPr>
                <w:rFonts w:ascii="Arial" w:hAnsi="Arial" w:cs="Arial"/>
                <w:b/>
                <w:sz w:val="18"/>
                <w:szCs w:val="18"/>
              </w:rPr>
              <w:t>Part time</w:t>
            </w:r>
          </w:p>
        </w:tc>
      </w:tr>
      <w:tr w:rsidR="00C66A67" w:rsidRPr="00F92BA3" w:rsidTr="003F520D">
        <w:trPr>
          <w:trHeight w:val="255"/>
        </w:trPr>
        <w:tc>
          <w:tcPr>
            <w:tcW w:w="3275" w:type="dxa"/>
            <w:shd w:val="clear" w:color="auto" w:fill="auto"/>
            <w:noWrap/>
            <w:vAlign w:val="center"/>
            <w:hideMark/>
          </w:tcPr>
          <w:p w:rsidR="00C66A67" w:rsidRPr="00F92BA3" w:rsidRDefault="00C66A67" w:rsidP="003A0984">
            <w:pPr>
              <w:rPr>
                <w:rFonts w:ascii="Arial" w:hAnsi="Arial" w:cs="Arial"/>
                <w:sz w:val="18"/>
                <w:szCs w:val="18"/>
              </w:rPr>
            </w:pPr>
            <w:r>
              <w:rPr>
                <w:rFonts w:ascii="Arial" w:hAnsi="Arial" w:cs="Arial"/>
                <w:sz w:val="18"/>
                <w:szCs w:val="18"/>
              </w:rPr>
              <w:t xml:space="preserve">Lancashire Visitor Economy </w:t>
            </w:r>
          </w:p>
        </w:tc>
        <w:tc>
          <w:tcPr>
            <w:tcW w:w="1630" w:type="dxa"/>
            <w:shd w:val="clear" w:color="auto" w:fill="auto"/>
            <w:noWrap/>
            <w:vAlign w:val="bottom"/>
            <w:hideMark/>
          </w:tcPr>
          <w:p w:rsidR="00C66A67" w:rsidRPr="00F92BA3" w:rsidRDefault="00C66A67" w:rsidP="003A0984">
            <w:pPr>
              <w:jc w:val="right"/>
              <w:rPr>
                <w:rFonts w:ascii="Arial" w:hAnsi="Arial" w:cs="Arial"/>
                <w:sz w:val="18"/>
                <w:szCs w:val="18"/>
              </w:rPr>
            </w:pPr>
            <w:r w:rsidRPr="00F92BA3">
              <w:rPr>
                <w:rFonts w:ascii="Arial" w:hAnsi="Arial" w:cs="Arial"/>
                <w:sz w:val="18"/>
                <w:szCs w:val="18"/>
              </w:rPr>
              <w:t>43%</w:t>
            </w:r>
          </w:p>
        </w:tc>
        <w:tc>
          <w:tcPr>
            <w:tcW w:w="1630" w:type="dxa"/>
            <w:shd w:val="clear" w:color="auto" w:fill="auto"/>
            <w:noWrap/>
            <w:vAlign w:val="bottom"/>
            <w:hideMark/>
          </w:tcPr>
          <w:p w:rsidR="00C66A67" w:rsidRPr="00F92BA3" w:rsidRDefault="00C66A67" w:rsidP="003A0984">
            <w:pPr>
              <w:jc w:val="right"/>
              <w:rPr>
                <w:rFonts w:ascii="Arial" w:hAnsi="Arial" w:cs="Arial"/>
                <w:sz w:val="18"/>
                <w:szCs w:val="18"/>
              </w:rPr>
            </w:pPr>
            <w:r w:rsidRPr="00F92BA3">
              <w:rPr>
                <w:rFonts w:ascii="Arial" w:hAnsi="Arial" w:cs="Arial"/>
                <w:sz w:val="18"/>
                <w:szCs w:val="18"/>
              </w:rPr>
              <w:t>57%</w:t>
            </w:r>
          </w:p>
        </w:tc>
      </w:tr>
      <w:tr w:rsidR="00C66A67" w:rsidRPr="00F92BA3" w:rsidTr="003F520D">
        <w:trPr>
          <w:trHeight w:val="255"/>
        </w:trPr>
        <w:tc>
          <w:tcPr>
            <w:tcW w:w="3275" w:type="dxa"/>
            <w:shd w:val="clear" w:color="auto" w:fill="auto"/>
            <w:noWrap/>
            <w:vAlign w:val="center"/>
            <w:hideMark/>
          </w:tcPr>
          <w:p w:rsidR="00C66A67" w:rsidRPr="00F92BA3" w:rsidRDefault="00C66A67" w:rsidP="003A0984">
            <w:pPr>
              <w:rPr>
                <w:rFonts w:ascii="Arial" w:hAnsi="Arial" w:cs="Arial"/>
                <w:sz w:val="18"/>
                <w:szCs w:val="18"/>
              </w:rPr>
            </w:pPr>
            <w:r>
              <w:rPr>
                <w:rFonts w:ascii="Arial" w:hAnsi="Arial" w:cs="Arial"/>
                <w:sz w:val="18"/>
                <w:szCs w:val="18"/>
              </w:rPr>
              <w:t>Lancashire All Sectors</w:t>
            </w:r>
          </w:p>
        </w:tc>
        <w:tc>
          <w:tcPr>
            <w:tcW w:w="1630" w:type="dxa"/>
            <w:shd w:val="clear" w:color="auto" w:fill="auto"/>
            <w:noWrap/>
            <w:vAlign w:val="bottom"/>
            <w:hideMark/>
          </w:tcPr>
          <w:p w:rsidR="00C66A67" w:rsidRPr="00F92BA3" w:rsidRDefault="00C66A67" w:rsidP="003A0984">
            <w:pPr>
              <w:jc w:val="right"/>
              <w:rPr>
                <w:rFonts w:ascii="Arial" w:hAnsi="Arial" w:cs="Arial"/>
                <w:sz w:val="18"/>
                <w:szCs w:val="18"/>
              </w:rPr>
            </w:pPr>
            <w:r w:rsidRPr="00F92BA3">
              <w:rPr>
                <w:rFonts w:ascii="Arial" w:hAnsi="Arial" w:cs="Arial"/>
                <w:sz w:val="18"/>
                <w:szCs w:val="18"/>
              </w:rPr>
              <w:t>68%</w:t>
            </w:r>
          </w:p>
        </w:tc>
        <w:tc>
          <w:tcPr>
            <w:tcW w:w="1630" w:type="dxa"/>
            <w:shd w:val="clear" w:color="auto" w:fill="auto"/>
            <w:noWrap/>
            <w:vAlign w:val="bottom"/>
            <w:hideMark/>
          </w:tcPr>
          <w:p w:rsidR="00C66A67" w:rsidRPr="00F92BA3" w:rsidRDefault="00C66A67" w:rsidP="003A0984">
            <w:pPr>
              <w:jc w:val="right"/>
              <w:rPr>
                <w:rFonts w:ascii="Arial" w:hAnsi="Arial" w:cs="Arial"/>
                <w:sz w:val="18"/>
                <w:szCs w:val="18"/>
              </w:rPr>
            </w:pPr>
            <w:r w:rsidRPr="00F92BA3">
              <w:rPr>
                <w:rFonts w:ascii="Arial" w:hAnsi="Arial" w:cs="Arial"/>
                <w:sz w:val="18"/>
                <w:szCs w:val="18"/>
              </w:rPr>
              <w:t>32%</w:t>
            </w:r>
          </w:p>
        </w:tc>
      </w:tr>
      <w:tr w:rsidR="00C66A67" w:rsidRPr="00F92BA3" w:rsidTr="003F520D">
        <w:trPr>
          <w:trHeight w:val="255"/>
        </w:trPr>
        <w:tc>
          <w:tcPr>
            <w:tcW w:w="6535" w:type="dxa"/>
            <w:gridSpan w:val="3"/>
            <w:shd w:val="clear" w:color="auto" w:fill="auto"/>
            <w:noWrap/>
            <w:vAlign w:val="center"/>
            <w:hideMark/>
          </w:tcPr>
          <w:p w:rsidR="00C66A67" w:rsidRPr="00F92BA3" w:rsidRDefault="00C66A67" w:rsidP="003A0984">
            <w:pPr>
              <w:rPr>
                <w:rFonts w:ascii="Arial" w:hAnsi="Arial" w:cs="Arial"/>
                <w:sz w:val="18"/>
                <w:szCs w:val="18"/>
              </w:rPr>
            </w:pPr>
            <w:r w:rsidRPr="0043414A">
              <w:rPr>
                <w:rFonts w:ascii="Arial" w:hAnsi="Arial" w:cs="Arial"/>
                <w:bCs/>
                <w:iCs/>
                <w:sz w:val="18"/>
                <w:szCs w:val="18"/>
              </w:rPr>
              <w:t xml:space="preserve">Source: </w:t>
            </w:r>
            <w:r>
              <w:rPr>
                <w:rFonts w:ascii="Arial" w:hAnsi="Arial" w:cs="Arial"/>
                <w:bCs/>
                <w:iCs/>
                <w:sz w:val="18"/>
                <w:szCs w:val="18"/>
              </w:rPr>
              <w:t>Business Register and Employment Survey</w:t>
            </w:r>
          </w:p>
        </w:tc>
      </w:tr>
    </w:tbl>
    <w:p w:rsidR="00C66A67" w:rsidRPr="000D2B64" w:rsidRDefault="00C66A67" w:rsidP="00C66A67">
      <w:pPr>
        <w:pStyle w:val="normalnumbered"/>
        <w:spacing w:line="264" w:lineRule="auto"/>
        <w:ind w:left="0" w:right="40" w:firstLine="0"/>
        <w:rPr>
          <w:rFonts w:cs="Arial"/>
          <w:sz w:val="2"/>
          <w:szCs w:val="2"/>
        </w:rPr>
      </w:pPr>
    </w:p>
    <w:p w:rsidR="00C66A67" w:rsidRPr="002A09BC"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685674">
        <w:rPr>
          <w:rFonts w:cs="Arial"/>
          <w:sz w:val="18"/>
          <w:szCs w:val="18"/>
        </w:rPr>
        <w:t xml:space="preserve">Within the </w:t>
      </w:r>
      <w:r w:rsidR="009232EA">
        <w:rPr>
          <w:rFonts w:cs="Arial"/>
          <w:sz w:val="18"/>
          <w:szCs w:val="18"/>
        </w:rPr>
        <w:t xml:space="preserve">different </w:t>
      </w:r>
      <w:r w:rsidRPr="00685674">
        <w:rPr>
          <w:rFonts w:cs="Arial"/>
          <w:sz w:val="18"/>
          <w:szCs w:val="18"/>
        </w:rPr>
        <w:t>sub-sectors of the visitor economy, part time working ranges from 6% (water transport) to 65% (creative, arts and entertainment).  The</w:t>
      </w:r>
      <w:r>
        <w:rPr>
          <w:rFonts w:cs="Arial"/>
          <w:sz w:val="18"/>
          <w:szCs w:val="18"/>
        </w:rPr>
        <w:t>re is a correlation between</w:t>
      </w:r>
      <w:r w:rsidRPr="00685674">
        <w:rPr>
          <w:rFonts w:cs="Arial"/>
          <w:sz w:val="18"/>
          <w:szCs w:val="18"/>
        </w:rPr>
        <w:t xml:space="preserve"> sub-sectors </w:t>
      </w:r>
      <w:r>
        <w:rPr>
          <w:rFonts w:cs="Arial"/>
          <w:sz w:val="18"/>
          <w:szCs w:val="18"/>
        </w:rPr>
        <w:t>with</w:t>
      </w:r>
      <w:r w:rsidRPr="00685674">
        <w:rPr>
          <w:rFonts w:cs="Arial"/>
          <w:sz w:val="18"/>
          <w:szCs w:val="18"/>
        </w:rPr>
        <w:t xml:space="preserve"> the highest number of employees </w:t>
      </w:r>
      <w:r>
        <w:rPr>
          <w:rFonts w:cs="Arial"/>
          <w:sz w:val="18"/>
          <w:szCs w:val="18"/>
        </w:rPr>
        <w:t>and those reporting high</w:t>
      </w:r>
      <w:r w:rsidRPr="00685674">
        <w:rPr>
          <w:rFonts w:cs="Arial"/>
          <w:sz w:val="18"/>
          <w:szCs w:val="18"/>
        </w:rPr>
        <w:t xml:space="preserve"> levels of part time working. </w:t>
      </w:r>
    </w:p>
    <w:p w:rsidR="00C66A67" w:rsidRPr="00F968E5" w:rsidRDefault="00C66A67" w:rsidP="00C66A67">
      <w:pPr>
        <w:pStyle w:val="ListParagraph"/>
        <w:tabs>
          <w:tab w:val="num" w:pos="0"/>
          <w:tab w:val="num" w:pos="860"/>
        </w:tabs>
        <w:ind w:left="0"/>
        <w:jc w:val="both"/>
        <w:rPr>
          <w:rFonts w:ascii="Arial" w:hAnsi="Arial" w:cs="Arial"/>
          <w:b/>
          <w:sz w:val="18"/>
          <w:szCs w:val="18"/>
        </w:rPr>
      </w:pPr>
      <w:r w:rsidRPr="00F968E5">
        <w:rPr>
          <w:rFonts w:ascii="Arial" w:hAnsi="Arial" w:cs="Arial"/>
          <w:b/>
          <w:sz w:val="18"/>
          <w:szCs w:val="18"/>
        </w:rPr>
        <w:t>Lancashire Visitor Economy by Full Time and Part Time Employees (2013)</w:t>
      </w:r>
    </w:p>
    <w:p w:rsidR="00C66A67" w:rsidRPr="00012671" w:rsidRDefault="00C66A67" w:rsidP="00C66A67">
      <w:pPr>
        <w:pStyle w:val="ListParagraph"/>
        <w:tabs>
          <w:tab w:val="num" w:pos="0"/>
          <w:tab w:val="num" w:pos="860"/>
        </w:tabs>
        <w:ind w:left="0"/>
        <w:jc w:val="both"/>
        <w:rPr>
          <w:rFonts w:ascii="Arial" w:hAnsi="Arial" w:cs="Arial"/>
          <w:sz w:val="20"/>
          <w:szCs w:val="20"/>
        </w:rPr>
      </w:pPr>
      <w:r w:rsidRPr="00C01ED1">
        <w:rPr>
          <w:noProof/>
          <w:lang w:eastAsia="en-GB"/>
        </w:rPr>
        <w:drawing>
          <wp:inline distT="0" distB="0" distL="0" distR="0">
            <wp:extent cx="4123580" cy="2455874"/>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1271" r="968"/>
                    <a:stretch>
                      <a:fillRect/>
                    </a:stretch>
                  </pic:blipFill>
                  <pic:spPr bwMode="auto">
                    <a:xfrm>
                      <a:off x="0" y="0"/>
                      <a:ext cx="4128544" cy="2458831"/>
                    </a:xfrm>
                    <a:prstGeom prst="rect">
                      <a:avLst/>
                    </a:prstGeom>
                    <a:noFill/>
                    <a:ln w="9525">
                      <a:noFill/>
                      <a:miter lim="800000"/>
                      <a:headEnd/>
                      <a:tailEnd/>
                    </a:ln>
                  </pic:spPr>
                </pic:pic>
              </a:graphicData>
            </a:graphic>
          </wp:inline>
        </w:drawing>
      </w:r>
    </w:p>
    <w:p w:rsidR="00C66A67" w:rsidRPr="00012671" w:rsidRDefault="00C66A67" w:rsidP="00C66A67">
      <w:pPr>
        <w:pStyle w:val="ListParagraph"/>
        <w:tabs>
          <w:tab w:val="num" w:pos="0"/>
          <w:tab w:val="num" w:pos="860"/>
        </w:tabs>
        <w:ind w:left="0"/>
        <w:jc w:val="both"/>
        <w:rPr>
          <w:rFonts w:ascii="Arial" w:hAnsi="Arial" w:cs="Arial"/>
          <w:sz w:val="16"/>
          <w:szCs w:val="16"/>
        </w:rPr>
      </w:pPr>
      <w:r w:rsidRPr="00012671">
        <w:rPr>
          <w:rFonts w:ascii="Arial" w:hAnsi="Arial" w:cs="Arial"/>
          <w:sz w:val="16"/>
          <w:szCs w:val="16"/>
        </w:rPr>
        <w:t xml:space="preserve">Source: Business Register and Employer Survey. </w:t>
      </w:r>
      <w:r w:rsidR="003F520D">
        <w:rPr>
          <w:rFonts w:ascii="Arial" w:hAnsi="Arial" w:cs="Arial"/>
          <w:sz w:val="16"/>
          <w:szCs w:val="16"/>
        </w:rPr>
        <w:t>N</w:t>
      </w:r>
      <w:r w:rsidRPr="00012671">
        <w:rPr>
          <w:rFonts w:ascii="Arial" w:hAnsi="Arial" w:cs="Arial"/>
          <w:sz w:val="16"/>
          <w:szCs w:val="16"/>
        </w:rPr>
        <w:t>umber of employees shown in brackets.</w:t>
      </w:r>
    </w:p>
    <w:p w:rsidR="00C66A67" w:rsidRPr="002574EE" w:rsidRDefault="00C66A67" w:rsidP="00C66A67">
      <w:pPr>
        <w:tabs>
          <w:tab w:val="num" w:pos="860"/>
          <w:tab w:val="num" w:pos="1105"/>
        </w:tabs>
        <w:spacing w:before="360" w:after="120" w:line="288" w:lineRule="auto"/>
        <w:jc w:val="both"/>
        <w:rPr>
          <w:rFonts w:ascii="Arial" w:hAnsi="Arial" w:cs="Arial"/>
          <w:b/>
          <w:color w:val="660066"/>
          <w:sz w:val="20"/>
          <w:szCs w:val="20"/>
        </w:rPr>
      </w:pPr>
      <w:r w:rsidRPr="009232EA">
        <w:rPr>
          <w:rFonts w:ascii="Arial" w:hAnsi="Arial" w:cs="Arial"/>
          <w:b/>
          <w:i/>
          <w:color w:val="6C2768"/>
          <w:sz w:val="20"/>
          <w:szCs w:val="20"/>
          <w:lang w:eastAsia="en-GB"/>
        </w:rPr>
        <w:t>Wages</w:t>
      </w:r>
      <w:bookmarkEnd w:id="84"/>
      <w:bookmarkEnd w:id="85"/>
      <w:bookmarkEnd w:id="86"/>
      <w:bookmarkEnd w:id="87"/>
      <w:bookmarkEnd w:id="88"/>
      <w:bookmarkEnd w:id="89"/>
      <w:bookmarkEnd w:id="90"/>
      <w:bookmarkEnd w:id="91"/>
      <w:r w:rsidRPr="002574EE">
        <w:rPr>
          <w:rFonts w:ascii="Arial" w:hAnsi="Arial" w:cs="Arial"/>
          <w:b/>
          <w:color w:val="660066"/>
          <w:sz w:val="20"/>
          <w:szCs w:val="20"/>
        </w:rPr>
        <w:t xml:space="preserve"> </w:t>
      </w:r>
      <w:bookmarkEnd w:id="92"/>
    </w:p>
    <w:p w:rsidR="00C66A67" w:rsidRDefault="00C66A67" w:rsidP="00C66A67">
      <w:pPr>
        <w:pStyle w:val="normalnumbered"/>
        <w:numPr>
          <w:ilvl w:val="1"/>
          <w:numId w:val="1"/>
        </w:numPr>
        <w:tabs>
          <w:tab w:val="clear" w:pos="2666"/>
          <w:tab w:val="num" w:pos="709"/>
          <w:tab w:val="num" w:pos="2240"/>
        </w:tabs>
        <w:spacing w:line="264" w:lineRule="auto"/>
        <w:ind w:left="0" w:right="40" w:firstLine="0"/>
        <w:rPr>
          <w:rFonts w:cs="Arial"/>
          <w:sz w:val="18"/>
          <w:szCs w:val="18"/>
        </w:rPr>
      </w:pPr>
      <w:r w:rsidRPr="002574EE">
        <w:rPr>
          <w:rFonts w:cs="Arial"/>
          <w:sz w:val="18"/>
          <w:szCs w:val="18"/>
        </w:rPr>
        <w:t xml:space="preserve">Wages in the visitor economy have historically been lower than in many other </w:t>
      </w:r>
      <w:r>
        <w:rPr>
          <w:rFonts w:cs="Arial"/>
          <w:sz w:val="18"/>
          <w:szCs w:val="18"/>
        </w:rPr>
        <w:t>parts of the economy</w:t>
      </w:r>
      <w:r w:rsidRPr="002574EE">
        <w:rPr>
          <w:rFonts w:cs="Arial"/>
          <w:sz w:val="18"/>
          <w:szCs w:val="18"/>
        </w:rPr>
        <w:t xml:space="preserve"> and recent figures s</w:t>
      </w:r>
      <w:r>
        <w:rPr>
          <w:rFonts w:cs="Arial"/>
          <w:sz w:val="18"/>
          <w:szCs w:val="18"/>
        </w:rPr>
        <w:t>how that this remains the case. I</w:t>
      </w:r>
      <w:r w:rsidRPr="002574EE">
        <w:rPr>
          <w:rFonts w:cs="Arial"/>
          <w:sz w:val="18"/>
          <w:szCs w:val="18"/>
        </w:rPr>
        <w:t>n 2014</w:t>
      </w:r>
      <w:r>
        <w:rPr>
          <w:rFonts w:cs="Arial"/>
          <w:sz w:val="18"/>
          <w:szCs w:val="18"/>
        </w:rPr>
        <w:t>, the average annual wage in Lancashire’s</w:t>
      </w:r>
      <w:r w:rsidRPr="002574EE">
        <w:rPr>
          <w:rFonts w:cs="Arial"/>
          <w:sz w:val="18"/>
          <w:szCs w:val="18"/>
        </w:rPr>
        <w:t xml:space="preserve"> visitor economy was less than half the all-sector average for the</w:t>
      </w:r>
      <w:r>
        <w:rPr>
          <w:rFonts w:cs="Arial"/>
          <w:sz w:val="18"/>
          <w:szCs w:val="18"/>
        </w:rPr>
        <w:t xml:space="preserve"> LEP area</w:t>
      </w:r>
      <w:r w:rsidRPr="002574EE">
        <w:rPr>
          <w:rFonts w:cs="Arial"/>
          <w:sz w:val="18"/>
          <w:szCs w:val="18"/>
        </w:rPr>
        <w:t xml:space="preserve">.  Unsurprisingly given the north-south </w:t>
      </w:r>
      <w:r w:rsidRPr="002574EE">
        <w:rPr>
          <w:rFonts w:cs="Arial"/>
          <w:sz w:val="18"/>
          <w:szCs w:val="18"/>
        </w:rPr>
        <w:lastRenderedPageBreak/>
        <w:t>salary divide, average wages in the visitor economy in Lancashire are lower than they are nationally.</w:t>
      </w:r>
      <w:r>
        <w:rPr>
          <w:rFonts w:cs="Arial"/>
          <w:sz w:val="18"/>
          <w:szCs w:val="18"/>
        </w:rPr>
        <w:t xml:space="preserve">  </w:t>
      </w:r>
    </w:p>
    <w:tbl>
      <w:tblPr>
        <w:tblW w:w="482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8"/>
        <w:gridCol w:w="1341"/>
        <w:gridCol w:w="1206"/>
        <w:gridCol w:w="1353"/>
      </w:tblGrid>
      <w:tr w:rsidR="00C66A67" w:rsidRPr="0043414A" w:rsidTr="003F520D">
        <w:trPr>
          <w:cantSplit/>
          <w:trHeight w:val="301"/>
        </w:trPr>
        <w:tc>
          <w:tcPr>
            <w:tcW w:w="5000" w:type="pct"/>
            <w:gridSpan w:val="4"/>
            <w:shd w:val="clear" w:color="auto" w:fill="660066"/>
            <w:vAlign w:val="center"/>
          </w:tcPr>
          <w:p w:rsidR="00C66A67" w:rsidRPr="0043414A" w:rsidRDefault="00C66A67" w:rsidP="003A0984">
            <w:pPr>
              <w:rPr>
                <w:rFonts w:ascii="Arial Bold" w:hAnsi="Arial Bold" w:cs="Arial"/>
                <w:b/>
                <w:bCs/>
                <w:iCs/>
                <w:sz w:val="18"/>
                <w:szCs w:val="18"/>
              </w:rPr>
            </w:pPr>
            <w:r>
              <w:rPr>
                <w:rFonts w:ascii="Arial Bold" w:hAnsi="Arial Bold" w:cs="Arial"/>
                <w:bCs/>
                <w:iCs/>
                <w:sz w:val="18"/>
                <w:szCs w:val="18"/>
              </w:rPr>
              <w:t>Visitor Economy</w:t>
            </w:r>
            <w:r w:rsidRPr="0043414A">
              <w:rPr>
                <w:rFonts w:ascii="Arial Bold" w:hAnsi="Arial Bold" w:cs="Arial"/>
                <w:bCs/>
                <w:iCs/>
                <w:sz w:val="18"/>
                <w:szCs w:val="18"/>
              </w:rPr>
              <w:t xml:space="preserve"> Average Annual Wages </w:t>
            </w:r>
            <w:r>
              <w:rPr>
                <w:rFonts w:ascii="Arial Bold" w:hAnsi="Arial Bold" w:cs="Arial"/>
                <w:bCs/>
                <w:iCs/>
                <w:sz w:val="18"/>
                <w:szCs w:val="18"/>
              </w:rPr>
              <w:t>(2014)</w:t>
            </w:r>
          </w:p>
        </w:tc>
      </w:tr>
      <w:tr w:rsidR="00C66A67" w:rsidRPr="0043414A" w:rsidTr="003F520D">
        <w:trPr>
          <w:cantSplit/>
        </w:trPr>
        <w:tc>
          <w:tcPr>
            <w:tcW w:w="2045" w:type="pct"/>
          </w:tcPr>
          <w:p w:rsidR="00C66A67" w:rsidRPr="0043414A" w:rsidRDefault="00C66A67" w:rsidP="003A0984">
            <w:pPr>
              <w:jc w:val="both"/>
              <w:rPr>
                <w:rFonts w:ascii="Arial" w:hAnsi="Arial"/>
                <w:sz w:val="18"/>
                <w:szCs w:val="18"/>
              </w:rPr>
            </w:pPr>
          </w:p>
        </w:tc>
        <w:tc>
          <w:tcPr>
            <w:tcW w:w="1016" w:type="pct"/>
            <w:vAlign w:val="center"/>
          </w:tcPr>
          <w:p w:rsidR="00C66A67" w:rsidRPr="000472FE" w:rsidRDefault="00C66A67" w:rsidP="003A0984">
            <w:pPr>
              <w:jc w:val="right"/>
              <w:rPr>
                <w:rFonts w:ascii="Arial" w:hAnsi="Arial"/>
                <w:b/>
                <w:sz w:val="18"/>
                <w:szCs w:val="18"/>
              </w:rPr>
            </w:pPr>
            <w:r w:rsidRPr="000472FE">
              <w:rPr>
                <w:rFonts w:ascii="Arial" w:hAnsi="Arial"/>
                <w:b/>
                <w:sz w:val="18"/>
                <w:szCs w:val="18"/>
              </w:rPr>
              <w:t>Lancashire</w:t>
            </w:r>
          </w:p>
        </w:tc>
        <w:tc>
          <w:tcPr>
            <w:tcW w:w="914" w:type="pct"/>
            <w:vAlign w:val="center"/>
          </w:tcPr>
          <w:p w:rsidR="00C66A67" w:rsidRPr="000472FE" w:rsidRDefault="00C66A67" w:rsidP="003A0984">
            <w:pPr>
              <w:jc w:val="right"/>
              <w:rPr>
                <w:rFonts w:ascii="Arial" w:hAnsi="Arial"/>
                <w:b/>
                <w:sz w:val="18"/>
                <w:szCs w:val="18"/>
              </w:rPr>
            </w:pPr>
            <w:r w:rsidRPr="000472FE">
              <w:rPr>
                <w:rFonts w:ascii="Arial" w:hAnsi="Arial"/>
                <w:b/>
                <w:sz w:val="18"/>
                <w:szCs w:val="18"/>
              </w:rPr>
              <w:t>England</w:t>
            </w:r>
          </w:p>
        </w:tc>
        <w:tc>
          <w:tcPr>
            <w:tcW w:w="1025" w:type="pct"/>
            <w:vAlign w:val="center"/>
          </w:tcPr>
          <w:p w:rsidR="00C66A67" w:rsidRPr="000472FE" w:rsidRDefault="00C66A67" w:rsidP="003A0984">
            <w:pPr>
              <w:jc w:val="right"/>
              <w:rPr>
                <w:rFonts w:ascii="Arial" w:hAnsi="Arial"/>
                <w:b/>
                <w:sz w:val="18"/>
                <w:szCs w:val="18"/>
              </w:rPr>
            </w:pPr>
            <w:r w:rsidRPr="000472FE">
              <w:rPr>
                <w:rFonts w:ascii="Arial" w:hAnsi="Arial"/>
                <w:b/>
                <w:sz w:val="18"/>
                <w:szCs w:val="18"/>
              </w:rPr>
              <w:t>Lancs as % England</w:t>
            </w:r>
          </w:p>
        </w:tc>
      </w:tr>
      <w:tr w:rsidR="00C66A67" w:rsidRPr="0043414A" w:rsidTr="003F520D">
        <w:trPr>
          <w:cantSplit/>
        </w:trPr>
        <w:tc>
          <w:tcPr>
            <w:tcW w:w="2045" w:type="pct"/>
          </w:tcPr>
          <w:p w:rsidR="00C66A67" w:rsidRPr="0043414A" w:rsidRDefault="00C66A67" w:rsidP="003A0984">
            <w:pPr>
              <w:rPr>
                <w:rFonts w:ascii="Arial" w:hAnsi="Arial"/>
                <w:sz w:val="18"/>
                <w:szCs w:val="18"/>
              </w:rPr>
            </w:pPr>
            <w:r>
              <w:rPr>
                <w:rFonts w:ascii="Arial" w:hAnsi="Arial"/>
                <w:sz w:val="18"/>
                <w:szCs w:val="18"/>
              </w:rPr>
              <w:t>Visitor economy</w:t>
            </w:r>
          </w:p>
        </w:tc>
        <w:tc>
          <w:tcPr>
            <w:tcW w:w="1016" w:type="pct"/>
            <w:vAlign w:val="center"/>
          </w:tcPr>
          <w:p w:rsidR="00C66A67" w:rsidRPr="000472FE" w:rsidRDefault="00C66A67" w:rsidP="003A0984">
            <w:pPr>
              <w:jc w:val="right"/>
              <w:rPr>
                <w:rFonts w:ascii="Arial" w:hAnsi="Arial" w:cs="Arial"/>
                <w:sz w:val="18"/>
                <w:szCs w:val="18"/>
              </w:rPr>
            </w:pPr>
            <w:r w:rsidRPr="000472FE">
              <w:rPr>
                <w:rFonts w:ascii="Arial" w:hAnsi="Arial" w:cs="Arial"/>
                <w:sz w:val="18"/>
                <w:szCs w:val="18"/>
              </w:rPr>
              <w:t>£11,444</w:t>
            </w:r>
          </w:p>
        </w:tc>
        <w:tc>
          <w:tcPr>
            <w:tcW w:w="914" w:type="pct"/>
            <w:vAlign w:val="center"/>
          </w:tcPr>
          <w:p w:rsidR="00C66A67" w:rsidRPr="000472FE" w:rsidRDefault="00C66A67" w:rsidP="003A0984">
            <w:pPr>
              <w:jc w:val="right"/>
              <w:rPr>
                <w:rFonts w:ascii="Arial" w:hAnsi="Arial" w:cs="Arial"/>
                <w:sz w:val="18"/>
                <w:szCs w:val="18"/>
              </w:rPr>
            </w:pPr>
            <w:r w:rsidRPr="000472FE">
              <w:rPr>
                <w:rFonts w:ascii="Arial" w:hAnsi="Arial" w:cs="Arial"/>
                <w:sz w:val="18"/>
                <w:szCs w:val="18"/>
              </w:rPr>
              <w:t>£12,525</w:t>
            </w:r>
          </w:p>
        </w:tc>
        <w:tc>
          <w:tcPr>
            <w:tcW w:w="1025" w:type="pct"/>
            <w:vAlign w:val="bottom"/>
          </w:tcPr>
          <w:p w:rsidR="00C66A67" w:rsidRPr="000472FE" w:rsidRDefault="00C66A67" w:rsidP="003A0984">
            <w:pPr>
              <w:jc w:val="right"/>
              <w:rPr>
                <w:rFonts w:ascii="Arial" w:hAnsi="Arial" w:cs="Arial"/>
                <w:sz w:val="18"/>
                <w:szCs w:val="18"/>
              </w:rPr>
            </w:pPr>
            <w:r w:rsidRPr="000472FE">
              <w:rPr>
                <w:rFonts w:ascii="Arial" w:hAnsi="Arial" w:cs="Arial"/>
                <w:sz w:val="18"/>
                <w:szCs w:val="18"/>
              </w:rPr>
              <w:t>91%</w:t>
            </w:r>
          </w:p>
        </w:tc>
      </w:tr>
      <w:tr w:rsidR="00C66A67" w:rsidRPr="0043414A" w:rsidTr="003F520D">
        <w:trPr>
          <w:cantSplit/>
        </w:trPr>
        <w:tc>
          <w:tcPr>
            <w:tcW w:w="2045" w:type="pct"/>
          </w:tcPr>
          <w:p w:rsidR="00C66A67" w:rsidRPr="0043414A" w:rsidRDefault="00C66A67" w:rsidP="003A0984">
            <w:pPr>
              <w:rPr>
                <w:rFonts w:ascii="Arial" w:hAnsi="Arial"/>
                <w:sz w:val="18"/>
                <w:szCs w:val="18"/>
              </w:rPr>
            </w:pPr>
            <w:r w:rsidRPr="0043414A">
              <w:rPr>
                <w:rFonts w:ascii="Arial" w:hAnsi="Arial"/>
                <w:sz w:val="18"/>
                <w:szCs w:val="18"/>
              </w:rPr>
              <w:t>Overall economy</w:t>
            </w:r>
          </w:p>
        </w:tc>
        <w:tc>
          <w:tcPr>
            <w:tcW w:w="1016" w:type="pct"/>
            <w:vAlign w:val="bottom"/>
          </w:tcPr>
          <w:p w:rsidR="00C66A67" w:rsidRPr="000472FE" w:rsidRDefault="00C66A67" w:rsidP="003A0984">
            <w:pPr>
              <w:jc w:val="right"/>
              <w:rPr>
                <w:rFonts w:ascii="Arial" w:hAnsi="Arial" w:cs="Arial"/>
                <w:sz w:val="18"/>
                <w:szCs w:val="18"/>
              </w:rPr>
            </w:pPr>
            <w:r w:rsidRPr="000472FE">
              <w:rPr>
                <w:rFonts w:ascii="Arial" w:hAnsi="Arial" w:cs="Arial"/>
                <w:sz w:val="18"/>
                <w:szCs w:val="18"/>
              </w:rPr>
              <w:t>£23,858</w:t>
            </w:r>
          </w:p>
        </w:tc>
        <w:tc>
          <w:tcPr>
            <w:tcW w:w="914" w:type="pct"/>
            <w:vAlign w:val="bottom"/>
          </w:tcPr>
          <w:p w:rsidR="00C66A67" w:rsidRPr="000472FE" w:rsidRDefault="00C66A67" w:rsidP="003A0984">
            <w:pPr>
              <w:jc w:val="right"/>
              <w:rPr>
                <w:rFonts w:ascii="Arial" w:hAnsi="Arial" w:cs="Arial"/>
                <w:sz w:val="18"/>
                <w:szCs w:val="18"/>
              </w:rPr>
            </w:pPr>
            <w:r w:rsidRPr="000472FE">
              <w:rPr>
                <w:rFonts w:ascii="Arial" w:hAnsi="Arial" w:cs="Arial"/>
                <w:sz w:val="18"/>
                <w:szCs w:val="18"/>
              </w:rPr>
              <w:t>£27,487</w:t>
            </w:r>
          </w:p>
        </w:tc>
        <w:tc>
          <w:tcPr>
            <w:tcW w:w="1025" w:type="pct"/>
            <w:vAlign w:val="bottom"/>
          </w:tcPr>
          <w:p w:rsidR="00C66A67" w:rsidRPr="000472FE" w:rsidRDefault="00C66A67" w:rsidP="003A0984">
            <w:pPr>
              <w:jc w:val="right"/>
              <w:rPr>
                <w:rFonts w:ascii="Arial" w:hAnsi="Arial" w:cs="Arial"/>
                <w:sz w:val="18"/>
                <w:szCs w:val="18"/>
              </w:rPr>
            </w:pPr>
            <w:r w:rsidRPr="000472FE">
              <w:rPr>
                <w:rFonts w:ascii="Arial" w:hAnsi="Arial" w:cs="Arial"/>
                <w:sz w:val="18"/>
                <w:szCs w:val="18"/>
              </w:rPr>
              <w:t>87%</w:t>
            </w:r>
          </w:p>
        </w:tc>
      </w:tr>
      <w:tr w:rsidR="00C66A67" w:rsidRPr="0043414A" w:rsidTr="003F520D">
        <w:trPr>
          <w:cantSplit/>
          <w:trHeight w:val="239"/>
        </w:trPr>
        <w:tc>
          <w:tcPr>
            <w:tcW w:w="5000" w:type="pct"/>
            <w:gridSpan w:val="4"/>
          </w:tcPr>
          <w:p w:rsidR="00C66A67" w:rsidRPr="0043414A" w:rsidRDefault="00C66A67" w:rsidP="003A0984">
            <w:pPr>
              <w:jc w:val="both"/>
              <w:rPr>
                <w:rFonts w:ascii="Arial" w:hAnsi="Arial"/>
                <w:sz w:val="18"/>
                <w:szCs w:val="18"/>
              </w:rPr>
            </w:pPr>
            <w:r w:rsidRPr="0043414A">
              <w:rPr>
                <w:rFonts w:ascii="Arial" w:hAnsi="Arial" w:cs="Arial"/>
                <w:sz w:val="18"/>
                <w:szCs w:val="18"/>
              </w:rPr>
              <w:t>Source: ekosgen estimates based on Annual Survey of Hours and Earnings</w:t>
            </w:r>
            <w:r>
              <w:rPr>
                <w:rFonts w:ascii="Arial" w:hAnsi="Arial" w:cs="Arial"/>
                <w:sz w:val="18"/>
                <w:szCs w:val="18"/>
              </w:rPr>
              <w:t xml:space="preserve"> and Business Register and Employment Survey</w:t>
            </w:r>
          </w:p>
        </w:tc>
      </w:tr>
    </w:tbl>
    <w:p w:rsidR="00C66A67" w:rsidRPr="000D2B64" w:rsidRDefault="00C66A67" w:rsidP="00C66A67">
      <w:pPr>
        <w:pStyle w:val="normalnumbered"/>
        <w:spacing w:line="264" w:lineRule="auto"/>
        <w:ind w:left="0" w:right="40" w:firstLine="0"/>
        <w:rPr>
          <w:rFonts w:cs="Arial"/>
          <w:sz w:val="2"/>
          <w:szCs w:val="2"/>
        </w:rPr>
      </w:pPr>
    </w:p>
    <w:p w:rsidR="008947B2" w:rsidRDefault="00C66A67" w:rsidP="00C66A67">
      <w:pPr>
        <w:pStyle w:val="normalnumbered"/>
        <w:numPr>
          <w:ilvl w:val="1"/>
          <w:numId w:val="1"/>
        </w:numPr>
        <w:tabs>
          <w:tab w:val="clear" w:pos="2666"/>
          <w:tab w:val="num" w:pos="709"/>
        </w:tabs>
        <w:spacing w:line="264" w:lineRule="auto"/>
        <w:ind w:left="0" w:right="40" w:firstLine="0"/>
        <w:rPr>
          <w:rFonts w:cs="Arial"/>
          <w:sz w:val="18"/>
          <w:szCs w:val="18"/>
        </w:rPr>
      </w:pPr>
      <w:r w:rsidRPr="002574EE">
        <w:rPr>
          <w:rFonts w:cs="Arial"/>
          <w:sz w:val="18"/>
          <w:szCs w:val="18"/>
        </w:rPr>
        <w:t>Sub-sectoral data</w:t>
      </w:r>
      <w:r w:rsidRPr="002574EE">
        <w:rPr>
          <w:rFonts w:cs="Arial"/>
          <w:sz w:val="18"/>
          <w:szCs w:val="18"/>
          <w:vertAlign w:val="superscript"/>
        </w:rPr>
        <w:footnoteReference w:id="31"/>
      </w:r>
      <w:r w:rsidRPr="002574EE">
        <w:rPr>
          <w:rFonts w:cs="Arial"/>
          <w:sz w:val="18"/>
          <w:szCs w:val="18"/>
          <w:vertAlign w:val="superscript"/>
        </w:rPr>
        <w:t xml:space="preserve"> </w:t>
      </w:r>
      <w:r w:rsidRPr="002574EE">
        <w:rPr>
          <w:rFonts w:cs="Arial"/>
          <w:sz w:val="18"/>
          <w:szCs w:val="18"/>
        </w:rPr>
        <w:t>shows that average wages are particularly low in the beverage service sub-sector (£9,300).  In other sub-sectors, the average ranges from £11,900 (operation of sports facilities and amusement parks) to £23,400 (water transport)</w:t>
      </w:r>
      <w:r>
        <w:rPr>
          <w:rFonts w:cs="Arial"/>
          <w:sz w:val="18"/>
          <w:szCs w:val="18"/>
        </w:rPr>
        <w:t>, i.e. in all parts of the visitor economy earnings are below the economy wide average</w:t>
      </w:r>
      <w:r w:rsidR="009C29E6" w:rsidRPr="002574EE">
        <w:rPr>
          <w:rFonts w:cs="Arial"/>
          <w:sz w:val="18"/>
          <w:szCs w:val="18"/>
        </w:rPr>
        <w:t>.</w:t>
      </w:r>
    </w:p>
    <w:p w:rsidR="00570B2F" w:rsidRDefault="00570B2F" w:rsidP="00570B2F">
      <w:pPr>
        <w:keepNext/>
        <w:spacing w:before="360"/>
        <w:ind w:right="238"/>
        <w:outlineLvl w:val="1"/>
        <w:rPr>
          <w:rFonts w:ascii="Arial Bold" w:hAnsi="Arial Bold" w:cs="Arial"/>
          <w:b/>
          <w:bCs/>
          <w:iCs/>
          <w:color w:val="6C2768"/>
          <w:sz w:val="22"/>
          <w:szCs w:val="22"/>
        </w:rPr>
      </w:pPr>
      <w:r>
        <w:rPr>
          <w:rFonts w:ascii="Arial Bold" w:hAnsi="Arial Bold" w:cs="Arial"/>
          <w:b/>
          <w:bCs/>
          <w:iCs/>
          <w:color w:val="6C2768"/>
          <w:sz w:val="22"/>
          <w:szCs w:val="22"/>
        </w:rPr>
        <w:t>Looking Ahead: Forecasts for the Visitor Economy</w:t>
      </w:r>
    </w:p>
    <w:p w:rsidR="00570B2F" w:rsidRPr="009232EA" w:rsidRDefault="00570B2F" w:rsidP="00570B2F">
      <w:pPr>
        <w:spacing w:before="120" w:after="120" w:line="264" w:lineRule="auto"/>
        <w:jc w:val="both"/>
        <w:rPr>
          <w:rFonts w:ascii="Arial" w:hAnsi="Arial" w:cs="Arial"/>
          <w:b/>
          <w:i/>
          <w:color w:val="6C2768"/>
          <w:sz w:val="20"/>
          <w:szCs w:val="20"/>
          <w:lang w:eastAsia="en-GB"/>
        </w:rPr>
      </w:pPr>
      <w:r>
        <w:rPr>
          <w:rFonts w:ascii="Arial" w:hAnsi="Arial" w:cs="Arial"/>
          <w:b/>
          <w:i/>
          <w:color w:val="6C2768"/>
          <w:sz w:val="20"/>
          <w:szCs w:val="20"/>
          <w:lang w:eastAsia="en-GB"/>
        </w:rPr>
        <w:t>Employment</w:t>
      </w:r>
    </w:p>
    <w:p w:rsidR="00570B2F" w:rsidRDefault="00570B2F" w:rsidP="00570B2F">
      <w:pPr>
        <w:pStyle w:val="normalnumbered"/>
        <w:numPr>
          <w:ilvl w:val="1"/>
          <w:numId w:val="1"/>
        </w:numPr>
        <w:tabs>
          <w:tab w:val="clear" w:pos="2666"/>
          <w:tab w:val="num" w:pos="709"/>
        </w:tabs>
        <w:spacing w:line="264" w:lineRule="auto"/>
        <w:ind w:left="0" w:right="40" w:firstLine="0"/>
        <w:rPr>
          <w:rFonts w:cs="Arial"/>
          <w:sz w:val="18"/>
          <w:szCs w:val="18"/>
        </w:rPr>
      </w:pPr>
      <w:r w:rsidRPr="00570B2F">
        <w:rPr>
          <w:rFonts w:cs="Arial"/>
          <w:sz w:val="18"/>
          <w:szCs w:val="18"/>
        </w:rPr>
        <w:t>Using the 2014 STEAM data as a baseline, and factoring in historic trends and assumptions around future visitor expenditure, it is estimated that just under 4,000 additional full time equivalents will be required in Lancashire’s visitor economy between 2014 and 2020</w:t>
      </w:r>
      <w:r>
        <w:rPr>
          <w:rStyle w:val="FootnoteReference"/>
          <w:rFonts w:cs="Arial"/>
          <w:sz w:val="18"/>
          <w:szCs w:val="18"/>
        </w:rPr>
        <w:footnoteReference w:id="32"/>
      </w:r>
      <w:r w:rsidRPr="00570B2F">
        <w:rPr>
          <w:rFonts w:cs="Arial"/>
          <w:sz w:val="18"/>
          <w:szCs w:val="18"/>
        </w:rPr>
        <w:t xml:space="preserve">.  Based on STEAM’s definition of the sector and the baseline employment numbers used in the model, this is an increase of 8.6%.  </w:t>
      </w:r>
      <w:r>
        <w:rPr>
          <w:rFonts w:cs="Arial"/>
          <w:sz w:val="18"/>
          <w:szCs w:val="18"/>
        </w:rPr>
        <w:t xml:space="preserve">More than two fifths of this increase (42%, 1,652 FTEs) is expected to occur in Blackpool.  None of the other local authority areas are expected to account for more than 11% of the increase. </w:t>
      </w:r>
    </w:p>
    <w:p w:rsidR="00570B2F" w:rsidRPr="00570B2F" w:rsidRDefault="00570B2F" w:rsidP="00570B2F">
      <w:pPr>
        <w:spacing w:before="120" w:after="120" w:line="264" w:lineRule="auto"/>
        <w:jc w:val="both"/>
        <w:rPr>
          <w:rFonts w:ascii="Arial" w:hAnsi="Arial" w:cs="Arial"/>
          <w:b/>
          <w:i/>
          <w:color w:val="6C2768"/>
          <w:sz w:val="20"/>
          <w:szCs w:val="20"/>
          <w:lang w:eastAsia="en-GB"/>
        </w:rPr>
      </w:pPr>
      <w:r w:rsidRPr="00570B2F">
        <w:rPr>
          <w:rFonts w:ascii="Arial" w:hAnsi="Arial" w:cs="Arial"/>
          <w:b/>
          <w:i/>
          <w:color w:val="6C2768"/>
          <w:sz w:val="20"/>
          <w:szCs w:val="20"/>
          <w:lang w:eastAsia="en-GB"/>
        </w:rPr>
        <w:t xml:space="preserve">Replacement Demand </w:t>
      </w:r>
    </w:p>
    <w:p w:rsidR="00570B2F" w:rsidRPr="00570B2F" w:rsidRDefault="00570B2F" w:rsidP="00570B2F">
      <w:pPr>
        <w:pStyle w:val="normalnumbered"/>
        <w:numPr>
          <w:ilvl w:val="1"/>
          <w:numId w:val="1"/>
        </w:numPr>
        <w:tabs>
          <w:tab w:val="clear" w:pos="2666"/>
          <w:tab w:val="num" w:pos="680"/>
          <w:tab w:val="num" w:pos="709"/>
        </w:tabs>
        <w:spacing w:after="120" w:line="264" w:lineRule="auto"/>
        <w:ind w:left="0" w:right="40" w:firstLine="0"/>
        <w:rPr>
          <w:sz w:val="18"/>
          <w:szCs w:val="18"/>
        </w:rPr>
      </w:pPr>
      <w:r w:rsidRPr="00570B2F">
        <w:rPr>
          <w:sz w:val="18"/>
          <w:szCs w:val="18"/>
        </w:rPr>
        <w:t xml:space="preserve">Replacement demand occurs as employees retire, leave the workforce and/or move to other jobs.  The STEAM forecasts do not include replacement demand (i.e. they cover new FTEs only) but given the transiency of the visitor economy workforce, it is safe to assume that replacement demand in this sector </w:t>
      </w:r>
      <w:r w:rsidRPr="00570B2F">
        <w:rPr>
          <w:sz w:val="18"/>
          <w:szCs w:val="18"/>
        </w:rPr>
        <w:lastRenderedPageBreak/>
        <w:t>will be above average</w:t>
      </w:r>
      <w:r w:rsidRPr="00570B2F">
        <w:rPr>
          <w:rStyle w:val="FootnoteReference"/>
          <w:sz w:val="18"/>
          <w:szCs w:val="18"/>
        </w:rPr>
        <w:footnoteReference w:id="33"/>
      </w:r>
      <w:r w:rsidRPr="00570B2F">
        <w:rPr>
          <w:sz w:val="18"/>
          <w:szCs w:val="18"/>
        </w:rPr>
        <w:t xml:space="preserve">.  Employers suggest that the following occupations are particularly affected by replacement demand: </w:t>
      </w:r>
    </w:p>
    <w:p w:rsidR="00570B2F" w:rsidRPr="00570B2F" w:rsidRDefault="00570B2F" w:rsidP="00570B2F">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570B2F">
        <w:rPr>
          <w:rFonts w:ascii="Arial Bold" w:hAnsi="Arial Bold" w:cs="Arial"/>
          <w:b/>
          <w:color w:val="6C2768"/>
          <w:sz w:val="18"/>
          <w:szCs w:val="18"/>
        </w:rPr>
        <w:t>Engineers (mechanical and electrical):</w:t>
      </w:r>
      <w:r w:rsidRPr="00570B2F">
        <w:rPr>
          <w:rFonts w:ascii="Arial" w:hAnsi="Arial" w:cs="Arial"/>
          <w:sz w:val="18"/>
          <w:szCs w:val="18"/>
        </w:rPr>
        <w:t xml:space="preserve"> this is more of an issue for the larger visitor economy employers who have plant and equipment to maintain (e.g. theme/amusement parks).  The specific issue is one of an ageing workforce: employers report that many of their engineers are approaching retirement age and that some are being encouraged or incentivised to work longer because employers face significant difficulties recruiting staff to replace them.    </w:t>
      </w:r>
    </w:p>
    <w:p w:rsidR="00570B2F" w:rsidRPr="00570B2F" w:rsidRDefault="00570B2F" w:rsidP="00570B2F">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570B2F">
        <w:rPr>
          <w:rFonts w:ascii="Arial Bold" w:hAnsi="Arial Bold" w:cs="Arial"/>
          <w:b/>
          <w:color w:val="6C2768"/>
          <w:sz w:val="18"/>
          <w:szCs w:val="18"/>
        </w:rPr>
        <w:t xml:space="preserve">Chefs and kitchen staff: </w:t>
      </w:r>
      <w:r w:rsidRPr="00570B2F">
        <w:rPr>
          <w:rFonts w:ascii="Arial" w:hAnsi="Arial" w:cs="Arial"/>
          <w:sz w:val="18"/>
          <w:szCs w:val="18"/>
        </w:rPr>
        <w:t xml:space="preserve">this affects visitor economy employers of all sizes, including those with a strong reputation for quality and those employing head chefs that are highly regarded and well recognised within the industry. High levels of staff churn, rather than retirements, is the issue. </w:t>
      </w:r>
    </w:p>
    <w:p w:rsidR="00570B2F" w:rsidRPr="00570B2F" w:rsidRDefault="00570B2F" w:rsidP="00570B2F">
      <w:pPr>
        <w:pStyle w:val="ListParagraph"/>
        <w:numPr>
          <w:ilvl w:val="0"/>
          <w:numId w:val="2"/>
        </w:numPr>
        <w:spacing w:before="120" w:after="240" w:line="264" w:lineRule="auto"/>
        <w:ind w:left="284" w:hanging="284"/>
        <w:contextualSpacing w:val="0"/>
        <w:jc w:val="both"/>
        <w:rPr>
          <w:rFonts w:ascii="Arial" w:hAnsi="Arial" w:cs="Arial"/>
          <w:sz w:val="18"/>
          <w:szCs w:val="18"/>
        </w:rPr>
      </w:pPr>
      <w:r w:rsidRPr="00570B2F">
        <w:rPr>
          <w:rFonts w:ascii="Arial Bold" w:hAnsi="Arial Bold" w:cs="Arial"/>
          <w:b/>
          <w:color w:val="6C2768"/>
          <w:sz w:val="18"/>
          <w:szCs w:val="18"/>
        </w:rPr>
        <w:t>Seasonal and other temporary roles:</w:t>
      </w:r>
      <w:r w:rsidRPr="00570B2F">
        <w:rPr>
          <w:rFonts w:ascii="Arial" w:hAnsi="Arial" w:cs="Arial"/>
          <w:sz w:val="18"/>
          <w:szCs w:val="18"/>
        </w:rPr>
        <w:t xml:space="preserve"> often filled by students and those not considering a longer term career in the sector, there are many peak season jobs that are subject to replacement demand each year. </w:t>
      </w:r>
    </w:p>
    <w:p w:rsidR="00570B2F" w:rsidRPr="00570B2F" w:rsidRDefault="00570B2F" w:rsidP="00570B2F">
      <w:pPr>
        <w:spacing w:before="120" w:after="120" w:line="264" w:lineRule="auto"/>
        <w:jc w:val="both"/>
        <w:rPr>
          <w:rFonts w:ascii="Arial" w:hAnsi="Arial" w:cs="Arial"/>
          <w:b/>
          <w:i/>
          <w:color w:val="6C2768"/>
          <w:sz w:val="20"/>
          <w:szCs w:val="20"/>
          <w:lang w:eastAsia="en-GB"/>
        </w:rPr>
      </w:pPr>
      <w:r w:rsidRPr="00570B2F">
        <w:rPr>
          <w:rFonts w:ascii="Arial" w:hAnsi="Arial" w:cs="Arial"/>
          <w:b/>
          <w:i/>
          <w:color w:val="6C2768"/>
          <w:sz w:val="20"/>
          <w:szCs w:val="20"/>
          <w:lang w:eastAsia="en-GB"/>
        </w:rPr>
        <w:t>Population Projections</w:t>
      </w:r>
    </w:p>
    <w:p w:rsidR="00570B2F" w:rsidRPr="00570B2F" w:rsidRDefault="00570B2F" w:rsidP="00570B2F">
      <w:pPr>
        <w:pStyle w:val="normalnumbered"/>
        <w:numPr>
          <w:ilvl w:val="1"/>
          <w:numId w:val="1"/>
        </w:numPr>
        <w:tabs>
          <w:tab w:val="clear" w:pos="2666"/>
          <w:tab w:val="num" w:pos="680"/>
          <w:tab w:val="num" w:pos="709"/>
          <w:tab w:val="num" w:pos="1112"/>
        </w:tabs>
        <w:spacing w:after="120" w:line="264" w:lineRule="auto"/>
        <w:ind w:left="0" w:right="40" w:firstLine="0"/>
        <w:rPr>
          <w:sz w:val="18"/>
          <w:szCs w:val="18"/>
        </w:rPr>
      </w:pPr>
      <w:r>
        <w:rPr>
          <w:sz w:val="18"/>
          <w:szCs w:val="18"/>
        </w:rPr>
        <w:t>P</w:t>
      </w:r>
      <w:r w:rsidRPr="00570B2F">
        <w:rPr>
          <w:sz w:val="18"/>
          <w:szCs w:val="18"/>
        </w:rPr>
        <w:t xml:space="preserve">opulation projections produced by the Office for National Statistics suggest that the population in Lancashire will grow more slowly than in both the North West and the country as a whole between 2015 and 2025 (2% compared with 4% and 7% respectively). </w:t>
      </w:r>
    </w:p>
    <w:p w:rsidR="00570B2F" w:rsidRPr="00570B2F" w:rsidRDefault="00570B2F" w:rsidP="00570B2F">
      <w:pPr>
        <w:pStyle w:val="normalnumbered"/>
        <w:numPr>
          <w:ilvl w:val="1"/>
          <w:numId w:val="1"/>
        </w:numPr>
        <w:tabs>
          <w:tab w:val="clear" w:pos="2666"/>
          <w:tab w:val="num" w:pos="680"/>
          <w:tab w:val="num" w:pos="709"/>
        </w:tabs>
        <w:spacing w:after="120" w:line="264" w:lineRule="auto"/>
        <w:ind w:left="0" w:right="40" w:firstLine="0"/>
        <w:rPr>
          <w:sz w:val="18"/>
          <w:szCs w:val="18"/>
        </w:rPr>
      </w:pPr>
      <w:r w:rsidRPr="00570B2F">
        <w:rPr>
          <w:sz w:val="18"/>
          <w:szCs w:val="18"/>
        </w:rPr>
        <w:t xml:space="preserve">The working age population in Lancashire is expected to fall by nearly 2% over this period, in contrast to a 2% increase nationally.  This will equate to 18,000 fewer residents of working age by 2025. </w:t>
      </w:r>
    </w:p>
    <w:p w:rsidR="00570B2F" w:rsidRPr="00570B2F" w:rsidRDefault="00570B2F" w:rsidP="00570B2F">
      <w:pPr>
        <w:pStyle w:val="normalnumbered"/>
        <w:numPr>
          <w:ilvl w:val="1"/>
          <w:numId w:val="1"/>
        </w:numPr>
        <w:tabs>
          <w:tab w:val="clear" w:pos="2666"/>
          <w:tab w:val="num" w:pos="680"/>
          <w:tab w:val="num" w:pos="709"/>
        </w:tabs>
        <w:spacing w:after="120" w:line="264" w:lineRule="auto"/>
        <w:ind w:left="0" w:right="40" w:firstLine="0"/>
        <w:rPr>
          <w:sz w:val="18"/>
          <w:szCs w:val="18"/>
        </w:rPr>
      </w:pPr>
      <w:r w:rsidRPr="00570B2F">
        <w:rPr>
          <w:sz w:val="18"/>
          <w:szCs w:val="18"/>
        </w:rPr>
        <w:t xml:space="preserve">Of particular note for the visitor economy (which is characterised by a young workforce) is that the number of residents in Lancashire aged 20-29 is projected to decrease significantly – a drop of nearly 20,000 over the next 10 years. Low levels of growth are also forecast for 15-19 year old population. </w:t>
      </w:r>
    </w:p>
    <w:p w:rsidR="00570B2F" w:rsidRPr="00570B2F" w:rsidRDefault="00570B2F" w:rsidP="00570B2F">
      <w:pPr>
        <w:pStyle w:val="normalnumbered"/>
        <w:numPr>
          <w:ilvl w:val="1"/>
          <w:numId w:val="1"/>
        </w:numPr>
        <w:tabs>
          <w:tab w:val="clear" w:pos="2666"/>
          <w:tab w:val="num" w:pos="680"/>
          <w:tab w:val="num" w:pos="709"/>
        </w:tabs>
        <w:spacing w:after="120" w:line="264" w:lineRule="auto"/>
        <w:ind w:left="0" w:right="40" w:firstLine="0"/>
        <w:rPr>
          <w:sz w:val="18"/>
          <w:szCs w:val="18"/>
        </w:rPr>
      </w:pPr>
      <w:r w:rsidRPr="00570B2F">
        <w:rPr>
          <w:sz w:val="18"/>
          <w:szCs w:val="18"/>
        </w:rPr>
        <w:t xml:space="preserve">Given that employees aged under 30 currently account for 42% of employment in the visitor economy, compared with 23% across Lancashire as a whole, this could result in further recruitment challenges, have implications for the </w:t>
      </w:r>
      <w:r w:rsidRPr="00570B2F">
        <w:rPr>
          <w:sz w:val="18"/>
          <w:szCs w:val="18"/>
        </w:rPr>
        <w:lastRenderedPageBreak/>
        <w:t xml:space="preserve">use of migrant labour and exacerbate the problems of an ageing workforce in certain occupations (e.g. engineers). </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1204"/>
        <w:gridCol w:w="1205"/>
        <w:gridCol w:w="1276"/>
        <w:gridCol w:w="1134"/>
      </w:tblGrid>
      <w:tr w:rsidR="00570B2F" w:rsidRPr="00570B2F" w:rsidTr="0019008C">
        <w:trPr>
          <w:trHeight w:val="255"/>
          <w:jc w:val="center"/>
        </w:trPr>
        <w:tc>
          <w:tcPr>
            <w:tcW w:w="6487" w:type="dxa"/>
            <w:gridSpan w:val="5"/>
            <w:shd w:val="clear" w:color="auto" w:fill="660066"/>
            <w:vAlign w:val="center"/>
          </w:tcPr>
          <w:p w:rsidR="00570B2F" w:rsidRPr="00570B2F" w:rsidRDefault="00570B2F" w:rsidP="000A3998">
            <w:pPr>
              <w:rPr>
                <w:rFonts w:ascii="Arial" w:hAnsi="Arial" w:cs="Arial"/>
                <w:b/>
                <w:sz w:val="18"/>
                <w:szCs w:val="18"/>
              </w:rPr>
            </w:pPr>
            <w:r w:rsidRPr="00570B2F">
              <w:rPr>
                <w:rFonts w:ascii="Arial" w:hAnsi="Arial" w:cs="Arial"/>
                <w:b/>
                <w:sz w:val="18"/>
                <w:szCs w:val="18"/>
              </w:rPr>
              <w:t xml:space="preserve">Population Projections 2015 – 2025 </w:t>
            </w:r>
          </w:p>
        </w:tc>
      </w:tr>
      <w:tr w:rsidR="00570B2F" w:rsidRPr="00570B2F" w:rsidTr="0019008C">
        <w:trPr>
          <w:trHeight w:val="255"/>
          <w:jc w:val="center"/>
        </w:trPr>
        <w:tc>
          <w:tcPr>
            <w:tcW w:w="1668" w:type="dxa"/>
            <w:vAlign w:val="center"/>
          </w:tcPr>
          <w:p w:rsidR="00570B2F" w:rsidRPr="00570B2F" w:rsidRDefault="00570B2F" w:rsidP="000A3998">
            <w:pPr>
              <w:rPr>
                <w:rFonts w:ascii="Arial" w:hAnsi="Arial" w:cs="Arial"/>
                <w:sz w:val="18"/>
                <w:szCs w:val="18"/>
              </w:rPr>
            </w:pPr>
          </w:p>
        </w:tc>
        <w:tc>
          <w:tcPr>
            <w:tcW w:w="2409" w:type="dxa"/>
            <w:gridSpan w:val="2"/>
            <w:vAlign w:val="center"/>
          </w:tcPr>
          <w:p w:rsidR="00570B2F" w:rsidRPr="00570B2F" w:rsidRDefault="00570B2F" w:rsidP="000A3998">
            <w:pPr>
              <w:jc w:val="center"/>
              <w:rPr>
                <w:rFonts w:ascii="Arial" w:hAnsi="Arial" w:cs="Arial"/>
                <w:b/>
                <w:sz w:val="18"/>
                <w:szCs w:val="18"/>
              </w:rPr>
            </w:pPr>
            <w:r w:rsidRPr="00570B2F">
              <w:rPr>
                <w:rFonts w:ascii="Arial" w:hAnsi="Arial" w:cs="Arial"/>
                <w:b/>
                <w:sz w:val="18"/>
                <w:szCs w:val="18"/>
              </w:rPr>
              <w:t xml:space="preserve">Lancashire </w:t>
            </w:r>
          </w:p>
        </w:tc>
        <w:tc>
          <w:tcPr>
            <w:tcW w:w="1276" w:type="dxa"/>
            <w:vAlign w:val="center"/>
          </w:tcPr>
          <w:p w:rsidR="00570B2F" w:rsidRPr="00570B2F" w:rsidRDefault="00570B2F" w:rsidP="000A3998">
            <w:pPr>
              <w:jc w:val="center"/>
              <w:rPr>
                <w:rFonts w:ascii="Arial" w:hAnsi="Arial" w:cs="Arial"/>
                <w:b/>
                <w:sz w:val="18"/>
                <w:szCs w:val="18"/>
              </w:rPr>
            </w:pPr>
            <w:r w:rsidRPr="00570B2F">
              <w:rPr>
                <w:rFonts w:ascii="Arial" w:hAnsi="Arial" w:cs="Arial"/>
                <w:b/>
                <w:sz w:val="18"/>
                <w:szCs w:val="18"/>
              </w:rPr>
              <w:t xml:space="preserve">North West </w:t>
            </w:r>
          </w:p>
        </w:tc>
        <w:tc>
          <w:tcPr>
            <w:tcW w:w="1134" w:type="dxa"/>
            <w:vAlign w:val="center"/>
          </w:tcPr>
          <w:p w:rsidR="00570B2F" w:rsidRPr="00570B2F" w:rsidRDefault="00570B2F" w:rsidP="000A3998">
            <w:pPr>
              <w:jc w:val="center"/>
              <w:rPr>
                <w:rFonts w:ascii="Arial" w:hAnsi="Arial" w:cs="Arial"/>
                <w:b/>
                <w:sz w:val="18"/>
                <w:szCs w:val="18"/>
              </w:rPr>
            </w:pPr>
            <w:r w:rsidRPr="00570B2F">
              <w:rPr>
                <w:rFonts w:ascii="Arial" w:hAnsi="Arial" w:cs="Arial"/>
                <w:b/>
                <w:sz w:val="18"/>
                <w:szCs w:val="18"/>
              </w:rPr>
              <w:t xml:space="preserve">England </w:t>
            </w:r>
          </w:p>
        </w:tc>
      </w:tr>
      <w:tr w:rsidR="00570B2F" w:rsidRPr="00570B2F" w:rsidTr="0019008C">
        <w:trPr>
          <w:trHeight w:val="255"/>
          <w:jc w:val="center"/>
        </w:trPr>
        <w:tc>
          <w:tcPr>
            <w:tcW w:w="1668" w:type="dxa"/>
            <w:shd w:val="clear" w:color="auto" w:fill="auto"/>
            <w:vAlign w:val="center"/>
          </w:tcPr>
          <w:p w:rsidR="00570B2F" w:rsidRPr="00570B2F" w:rsidRDefault="00570B2F" w:rsidP="000A3998">
            <w:pPr>
              <w:rPr>
                <w:rFonts w:ascii="Arial" w:hAnsi="Arial" w:cs="Arial"/>
                <w:sz w:val="18"/>
                <w:szCs w:val="18"/>
              </w:rPr>
            </w:pPr>
            <w:r w:rsidRPr="00570B2F">
              <w:rPr>
                <w:rFonts w:ascii="Arial" w:hAnsi="Arial" w:cs="Arial"/>
                <w:sz w:val="18"/>
                <w:szCs w:val="18"/>
              </w:rPr>
              <w:t xml:space="preserve">Total </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        36,500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w:t>
            </w:r>
          </w:p>
        </w:tc>
        <w:tc>
          <w:tcPr>
            <w:tcW w:w="1276" w:type="dxa"/>
            <w:shd w:val="clear" w:color="auto" w:fill="auto"/>
            <w:vAlign w:val="center"/>
          </w:tcPr>
          <w:p w:rsidR="00570B2F" w:rsidRPr="00570B2F" w:rsidRDefault="00570B2F" w:rsidP="000A3998">
            <w:pPr>
              <w:jc w:val="right"/>
              <w:rPr>
                <w:rFonts w:ascii="Arial" w:hAnsi="Arial" w:cs="Arial"/>
                <w:sz w:val="18"/>
                <w:szCs w:val="18"/>
              </w:rPr>
            </w:pPr>
            <w:r w:rsidRPr="00570B2F">
              <w:rPr>
                <w:rFonts w:ascii="Arial" w:hAnsi="Arial" w:cs="Arial"/>
                <w:sz w:val="18"/>
                <w:szCs w:val="18"/>
              </w:rPr>
              <w:t>4%</w:t>
            </w:r>
          </w:p>
        </w:tc>
        <w:tc>
          <w:tcPr>
            <w:tcW w:w="1134" w:type="dxa"/>
            <w:vAlign w:val="center"/>
          </w:tcPr>
          <w:p w:rsidR="00570B2F" w:rsidRPr="00570B2F" w:rsidRDefault="00570B2F" w:rsidP="000A3998">
            <w:pPr>
              <w:jc w:val="right"/>
              <w:rPr>
                <w:rFonts w:ascii="Arial" w:hAnsi="Arial" w:cs="Arial"/>
                <w:sz w:val="18"/>
                <w:szCs w:val="18"/>
              </w:rPr>
            </w:pPr>
            <w:r w:rsidRPr="00570B2F">
              <w:rPr>
                <w:rFonts w:ascii="Arial" w:hAnsi="Arial" w:cs="Arial"/>
                <w:sz w:val="18"/>
                <w:szCs w:val="18"/>
              </w:rPr>
              <w:t>7%</w:t>
            </w:r>
          </w:p>
        </w:tc>
      </w:tr>
      <w:tr w:rsidR="00570B2F" w:rsidRPr="00570B2F" w:rsidTr="0019008C">
        <w:trPr>
          <w:trHeight w:val="255"/>
          <w:jc w:val="center"/>
        </w:trPr>
        <w:tc>
          <w:tcPr>
            <w:tcW w:w="1668" w:type="dxa"/>
            <w:shd w:val="clear" w:color="auto" w:fill="auto"/>
            <w:vAlign w:val="center"/>
          </w:tcPr>
          <w:p w:rsidR="00570B2F" w:rsidRPr="00570B2F" w:rsidRDefault="00570B2F" w:rsidP="000A3998">
            <w:pPr>
              <w:rPr>
                <w:rFonts w:ascii="Arial" w:hAnsi="Arial" w:cs="Arial"/>
                <w:sz w:val="18"/>
                <w:szCs w:val="18"/>
              </w:rPr>
            </w:pPr>
            <w:r w:rsidRPr="00570B2F">
              <w:rPr>
                <w:rFonts w:ascii="Arial" w:hAnsi="Arial" w:cs="Arial"/>
                <w:sz w:val="18"/>
                <w:szCs w:val="18"/>
              </w:rPr>
              <w:t xml:space="preserve">Working Age </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-18,000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w:t>
            </w:r>
          </w:p>
        </w:tc>
        <w:tc>
          <w:tcPr>
            <w:tcW w:w="1276" w:type="dxa"/>
            <w:shd w:val="clear" w:color="auto" w:fill="auto"/>
            <w:vAlign w:val="center"/>
          </w:tcPr>
          <w:p w:rsidR="00570B2F" w:rsidRPr="00570B2F" w:rsidRDefault="00570B2F" w:rsidP="000A3998">
            <w:pPr>
              <w:jc w:val="right"/>
              <w:rPr>
                <w:rFonts w:ascii="Arial" w:hAnsi="Arial" w:cs="Arial"/>
                <w:sz w:val="18"/>
                <w:szCs w:val="18"/>
              </w:rPr>
            </w:pPr>
            <w:r w:rsidRPr="00570B2F">
              <w:rPr>
                <w:rFonts w:ascii="Arial" w:hAnsi="Arial" w:cs="Arial"/>
                <w:sz w:val="18"/>
                <w:szCs w:val="18"/>
              </w:rPr>
              <w:t>-1%</w:t>
            </w:r>
          </w:p>
        </w:tc>
        <w:tc>
          <w:tcPr>
            <w:tcW w:w="1134" w:type="dxa"/>
            <w:vAlign w:val="center"/>
          </w:tcPr>
          <w:p w:rsidR="00570B2F" w:rsidRPr="00570B2F" w:rsidRDefault="00570B2F" w:rsidP="000A3998">
            <w:pPr>
              <w:jc w:val="right"/>
              <w:rPr>
                <w:rFonts w:ascii="Arial" w:hAnsi="Arial" w:cs="Arial"/>
                <w:sz w:val="18"/>
                <w:szCs w:val="18"/>
              </w:rPr>
            </w:pPr>
            <w:r w:rsidRPr="00570B2F">
              <w:rPr>
                <w:rFonts w:ascii="Arial" w:hAnsi="Arial" w:cs="Arial"/>
                <w:sz w:val="18"/>
                <w:szCs w:val="18"/>
              </w:rPr>
              <w:t>3%</w:t>
            </w:r>
          </w:p>
        </w:tc>
      </w:tr>
      <w:tr w:rsidR="00570B2F" w:rsidRPr="00570B2F" w:rsidTr="0019008C">
        <w:trPr>
          <w:trHeight w:val="255"/>
          <w:jc w:val="center"/>
        </w:trPr>
        <w:tc>
          <w:tcPr>
            <w:tcW w:w="6487" w:type="dxa"/>
            <w:gridSpan w:val="5"/>
            <w:shd w:val="clear" w:color="auto" w:fill="auto"/>
            <w:vAlign w:val="center"/>
          </w:tcPr>
          <w:p w:rsidR="00570B2F" w:rsidRPr="00570B2F" w:rsidRDefault="00570B2F" w:rsidP="000A3998">
            <w:pPr>
              <w:rPr>
                <w:rFonts w:ascii="Arial" w:hAnsi="Arial" w:cs="Arial"/>
                <w:b/>
                <w:i/>
                <w:sz w:val="18"/>
                <w:szCs w:val="18"/>
              </w:rPr>
            </w:pPr>
            <w:r w:rsidRPr="00570B2F">
              <w:rPr>
                <w:rFonts w:ascii="Arial" w:hAnsi="Arial" w:cs="Arial"/>
                <w:b/>
                <w:i/>
                <w:sz w:val="18"/>
                <w:szCs w:val="18"/>
              </w:rPr>
              <w:t xml:space="preserve">Detailed Age Groups </w:t>
            </w:r>
          </w:p>
        </w:tc>
      </w:tr>
      <w:tr w:rsidR="00570B2F" w:rsidRPr="00570B2F" w:rsidTr="0019008C">
        <w:trPr>
          <w:trHeight w:val="255"/>
          <w:jc w:val="center"/>
        </w:trPr>
        <w:tc>
          <w:tcPr>
            <w:tcW w:w="1668" w:type="dxa"/>
            <w:shd w:val="clear" w:color="auto" w:fill="auto"/>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Under 15</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5,200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w:t>
            </w:r>
          </w:p>
        </w:tc>
        <w:tc>
          <w:tcPr>
            <w:tcW w:w="1276"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4%</w:t>
            </w:r>
          </w:p>
        </w:tc>
        <w:tc>
          <w:tcPr>
            <w:tcW w:w="1134" w:type="dxa"/>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8%</w:t>
            </w:r>
          </w:p>
        </w:tc>
      </w:tr>
      <w:tr w:rsidR="00570B2F" w:rsidRPr="00570B2F" w:rsidTr="0019008C">
        <w:trPr>
          <w:trHeight w:val="255"/>
          <w:jc w:val="center"/>
        </w:trPr>
        <w:tc>
          <w:tcPr>
            <w:tcW w:w="1668" w:type="dxa"/>
            <w:shd w:val="clear" w:color="auto" w:fill="D9D9D9" w:themeFill="background1" w:themeFillShade="D9"/>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15-19</w:t>
            </w:r>
          </w:p>
        </w:tc>
        <w:tc>
          <w:tcPr>
            <w:tcW w:w="1204"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2,100 </w:t>
            </w:r>
          </w:p>
        </w:tc>
        <w:tc>
          <w:tcPr>
            <w:tcW w:w="1205"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w:t>
            </w:r>
          </w:p>
        </w:tc>
        <w:tc>
          <w:tcPr>
            <w:tcW w:w="1276"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3%</w:t>
            </w:r>
          </w:p>
        </w:tc>
        <w:tc>
          <w:tcPr>
            <w:tcW w:w="1134"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7%</w:t>
            </w:r>
          </w:p>
        </w:tc>
      </w:tr>
      <w:tr w:rsidR="00570B2F" w:rsidRPr="00570B2F" w:rsidTr="0019008C">
        <w:trPr>
          <w:trHeight w:val="255"/>
          <w:jc w:val="center"/>
        </w:trPr>
        <w:tc>
          <w:tcPr>
            <w:tcW w:w="1668" w:type="dxa"/>
            <w:shd w:val="clear" w:color="auto" w:fill="D9D9D9" w:themeFill="background1" w:themeFillShade="D9"/>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20-29</w:t>
            </w:r>
          </w:p>
        </w:tc>
        <w:tc>
          <w:tcPr>
            <w:tcW w:w="1204"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-19,400 </w:t>
            </w:r>
          </w:p>
        </w:tc>
        <w:tc>
          <w:tcPr>
            <w:tcW w:w="1205"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-10%</w:t>
            </w:r>
          </w:p>
        </w:tc>
        <w:tc>
          <w:tcPr>
            <w:tcW w:w="1276"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-10%</w:t>
            </w:r>
          </w:p>
        </w:tc>
        <w:tc>
          <w:tcPr>
            <w:tcW w:w="1134" w:type="dxa"/>
            <w:shd w:val="clear" w:color="auto" w:fill="D9D9D9" w:themeFill="background1" w:themeFillShade="D9"/>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-6%</w:t>
            </w:r>
          </w:p>
        </w:tc>
      </w:tr>
      <w:tr w:rsidR="00570B2F" w:rsidRPr="00570B2F" w:rsidTr="0019008C">
        <w:trPr>
          <w:trHeight w:val="255"/>
          <w:jc w:val="center"/>
        </w:trPr>
        <w:tc>
          <w:tcPr>
            <w:tcW w:w="1668" w:type="dxa"/>
            <w:shd w:val="clear" w:color="auto" w:fill="auto"/>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30-39</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        12,900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8%</w:t>
            </w:r>
          </w:p>
        </w:tc>
        <w:tc>
          <w:tcPr>
            <w:tcW w:w="1276"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9%</w:t>
            </w:r>
          </w:p>
        </w:tc>
        <w:tc>
          <w:tcPr>
            <w:tcW w:w="1134" w:type="dxa"/>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9%</w:t>
            </w:r>
          </w:p>
        </w:tc>
      </w:tr>
      <w:tr w:rsidR="00570B2F" w:rsidRPr="00570B2F" w:rsidTr="0019008C">
        <w:trPr>
          <w:trHeight w:val="255"/>
          <w:jc w:val="center"/>
        </w:trPr>
        <w:tc>
          <w:tcPr>
            <w:tcW w:w="1668" w:type="dxa"/>
            <w:shd w:val="clear" w:color="auto" w:fill="auto"/>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40-49</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-28,900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-14%</w:t>
            </w:r>
          </w:p>
        </w:tc>
        <w:tc>
          <w:tcPr>
            <w:tcW w:w="1276"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-11%</w:t>
            </w:r>
          </w:p>
        </w:tc>
        <w:tc>
          <w:tcPr>
            <w:tcW w:w="1134" w:type="dxa"/>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-5%</w:t>
            </w:r>
          </w:p>
        </w:tc>
      </w:tr>
      <w:tr w:rsidR="00570B2F" w:rsidRPr="00570B2F" w:rsidTr="0019008C">
        <w:trPr>
          <w:trHeight w:val="255"/>
          <w:jc w:val="center"/>
        </w:trPr>
        <w:tc>
          <w:tcPr>
            <w:tcW w:w="1668" w:type="dxa"/>
            <w:shd w:val="clear" w:color="auto" w:fill="auto"/>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50-59</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-2,300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w:t>
            </w:r>
          </w:p>
        </w:tc>
        <w:tc>
          <w:tcPr>
            <w:tcW w:w="1276"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w:t>
            </w:r>
          </w:p>
        </w:tc>
        <w:tc>
          <w:tcPr>
            <w:tcW w:w="1134" w:type="dxa"/>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4%</w:t>
            </w:r>
          </w:p>
        </w:tc>
      </w:tr>
      <w:tr w:rsidR="00570B2F" w:rsidRPr="00570B2F" w:rsidTr="0019008C">
        <w:trPr>
          <w:trHeight w:val="255"/>
          <w:jc w:val="center"/>
        </w:trPr>
        <w:tc>
          <w:tcPr>
            <w:tcW w:w="1668" w:type="dxa"/>
            <w:shd w:val="clear" w:color="auto" w:fill="auto"/>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60-64</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        17,600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21%</w:t>
            </w:r>
          </w:p>
        </w:tc>
        <w:tc>
          <w:tcPr>
            <w:tcW w:w="1276"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23%</w:t>
            </w:r>
          </w:p>
        </w:tc>
        <w:tc>
          <w:tcPr>
            <w:tcW w:w="1134" w:type="dxa"/>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26%</w:t>
            </w:r>
          </w:p>
        </w:tc>
      </w:tr>
      <w:tr w:rsidR="00570B2F" w:rsidRPr="00570B2F" w:rsidTr="0019008C">
        <w:trPr>
          <w:trHeight w:val="255"/>
          <w:jc w:val="center"/>
        </w:trPr>
        <w:tc>
          <w:tcPr>
            <w:tcW w:w="1668" w:type="dxa"/>
            <w:shd w:val="clear" w:color="auto" w:fill="auto"/>
            <w:vAlign w:val="bottom"/>
          </w:tcPr>
          <w:p w:rsidR="00570B2F" w:rsidRPr="00570B2F" w:rsidRDefault="00570B2F" w:rsidP="000A3998">
            <w:pPr>
              <w:rPr>
                <w:rFonts w:ascii="Arial" w:hAnsi="Arial" w:cs="Arial"/>
                <w:color w:val="000000"/>
                <w:sz w:val="18"/>
                <w:szCs w:val="18"/>
              </w:rPr>
            </w:pPr>
            <w:r w:rsidRPr="00570B2F">
              <w:rPr>
                <w:rFonts w:ascii="Arial" w:hAnsi="Arial" w:cs="Arial"/>
                <w:color w:val="000000"/>
                <w:sz w:val="18"/>
                <w:szCs w:val="18"/>
              </w:rPr>
              <w:t>65+</w:t>
            </w:r>
          </w:p>
        </w:tc>
        <w:tc>
          <w:tcPr>
            <w:tcW w:w="1204"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 xml:space="preserve">        49,300 </w:t>
            </w:r>
          </w:p>
        </w:tc>
        <w:tc>
          <w:tcPr>
            <w:tcW w:w="1205"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17%</w:t>
            </w:r>
          </w:p>
        </w:tc>
        <w:tc>
          <w:tcPr>
            <w:tcW w:w="1276" w:type="dxa"/>
            <w:shd w:val="clear" w:color="auto" w:fill="auto"/>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18%</w:t>
            </w:r>
          </w:p>
        </w:tc>
        <w:tc>
          <w:tcPr>
            <w:tcW w:w="1134" w:type="dxa"/>
            <w:vAlign w:val="bottom"/>
          </w:tcPr>
          <w:p w:rsidR="00570B2F" w:rsidRPr="00570B2F" w:rsidRDefault="00570B2F" w:rsidP="000A3998">
            <w:pPr>
              <w:jc w:val="right"/>
              <w:rPr>
                <w:rFonts w:ascii="Arial" w:hAnsi="Arial" w:cs="Arial"/>
                <w:color w:val="000000"/>
                <w:sz w:val="18"/>
                <w:szCs w:val="18"/>
              </w:rPr>
            </w:pPr>
            <w:r w:rsidRPr="00570B2F">
              <w:rPr>
                <w:rFonts w:ascii="Arial" w:hAnsi="Arial" w:cs="Arial"/>
                <w:color w:val="000000"/>
                <w:sz w:val="18"/>
                <w:szCs w:val="18"/>
              </w:rPr>
              <w:t>21%</w:t>
            </w:r>
          </w:p>
        </w:tc>
      </w:tr>
      <w:tr w:rsidR="00570B2F" w:rsidRPr="001467CC" w:rsidTr="0019008C">
        <w:trPr>
          <w:trHeight w:val="255"/>
          <w:jc w:val="center"/>
        </w:trPr>
        <w:tc>
          <w:tcPr>
            <w:tcW w:w="6487" w:type="dxa"/>
            <w:gridSpan w:val="5"/>
            <w:vAlign w:val="center"/>
          </w:tcPr>
          <w:p w:rsidR="00570B2F" w:rsidRPr="001467CC" w:rsidRDefault="00570B2F" w:rsidP="000A3998">
            <w:pPr>
              <w:rPr>
                <w:rFonts w:ascii="Arial" w:hAnsi="Arial" w:cs="Arial"/>
                <w:sz w:val="16"/>
                <w:szCs w:val="16"/>
              </w:rPr>
            </w:pPr>
            <w:r w:rsidRPr="00570B2F">
              <w:rPr>
                <w:rFonts w:ascii="Arial" w:hAnsi="Arial" w:cs="Arial"/>
                <w:sz w:val="16"/>
                <w:szCs w:val="16"/>
              </w:rPr>
              <w:t>Source: ONS</w:t>
            </w:r>
          </w:p>
        </w:tc>
      </w:tr>
    </w:tbl>
    <w:p w:rsidR="00570B2F" w:rsidRPr="008947B2" w:rsidRDefault="00570B2F" w:rsidP="00570B2F">
      <w:pPr>
        <w:pStyle w:val="normalnumbered"/>
        <w:tabs>
          <w:tab w:val="clear" w:pos="2666"/>
        </w:tabs>
        <w:spacing w:line="264" w:lineRule="auto"/>
        <w:ind w:left="0" w:right="40" w:firstLine="0"/>
        <w:rPr>
          <w:rFonts w:cs="Arial"/>
          <w:sz w:val="18"/>
          <w:szCs w:val="18"/>
        </w:rPr>
      </w:pPr>
      <w:r>
        <w:t xml:space="preserve">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0F52FD" w:rsidRDefault="000F52FD" w:rsidP="000F52FD">
      <w:pPr>
        <w:pStyle w:val="normalnumbered"/>
        <w:tabs>
          <w:tab w:val="clear" w:pos="2666"/>
        </w:tabs>
        <w:spacing w:line="264" w:lineRule="auto"/>
        <w:ind w:left="0" w:right="40" w:firstLine="0"/>
      </w:pPr>
    </w:p>
    <w:p w:rsidR="000F52FD" w:rsidRDefault="000F52FD" w:rsidP="000F52FD">
      <w:pPr>
        <w:pStyle w:val="normalnumbered"/>
        <w:tabs>
          <w:tab w:val="clear" w:pos="2666"/>
        </w:tabs>
        <w:spacing w:line="264" w:lineRule="auto"/>
        <w:ind w:left="0" w:right="40" w:firstLine="0"/>
      </w:pPr>
    </w:p>
    <w:p w:rsidR="009C56AA" w:rsidRPr="00A40EAD" w:rsidRDefault="00173777" w:rsidP="00BC2CD4">
      <w:pPr>
        <w:pStyle w:val="ListParagraph"/>
        <w:keepNext/>
        <w:pageBreakBefore/>
        <w:numPr>
          <w:ilvl w:val="0"/>
          <w:numId w:val="1"/>
        </w:numPr>
        <w:tabs>
          <w:tab w:val="clear" w:pos="1112"/>
          <w:tab w:val="num" w:pos="567"/>
        </w:tabs>
        <w:spacing w:before="240" w:after="240" w:line="360" w:lineRule="auto"/>
        <w:ind w:left="567" w:hanging="567"/>
        <w:jc w:val="both"/>
        <w:outlineLvl w:val="0"/>
        <w:rPr>
          <w:rFonts w:ascii="Arial Bold" w:hAnsi="Arial Bold" w:cs="Arial"/>
          <w:b/>
          <w:bCs/>
          <w:color w:val="6C2768"/>
          <w:kern w:val="32"/>
          <w:sz w:val="28"/>
          <w:szCs w:val="32"/>
          <w:lang w:eastAsia="en-GB"/>
        </w:rPr>
      </w:pPr>
      <w:bookmarkStart w:id="93" w:name="_Toc424128476"/>
      <w:r w:rsidRPr="00A40EAD">
        <w:rPr>
          <w:rFonts w:ascii="Arial Bold" w:hAnsi="Arial Bold" w:cs="Arial"/>
          <w:b/>
          <w:bCs/>
          <w:color w:val="6C2768"/>
          <w:kern w:val="32"/>
          <w:sz w:val="28"/>
          <w:szCs w:val="32"/>
          <w:lang w:eastAsia="en-GB"/>
        </w:rPr>
        <w:lastRenderedPageBreak/>
        <w:t xml:space="preserve">Recruitment </w:t>
      </w:r>
      <w:r w:rsidR="006C256B" w:rsidRPr="00A40EAD">
        <w:rPr>
          <w:rFonts w:ascii="Arial Bold" w:hAnsi="Arial Bold" w:cs="Arial"/>
          <w:b/>
          <w:bCs/>
          <w:color w:val="6C2768"/>
          <w:kern w:val="32"/>
          <w:sz w:val="28"/>
          <w:szCs w:val="32"/>
          <w:lang w:eastAsia="en-GB"/>
        </w:rPr>
        <w:t>and Retention</w:t>
      </w:r>
      <w:bookmarkEnd w:id="93"/>
      <w:r w:rsidR="006C256B" w:rsidRPr="00A40EAD">
        <w:rPr>
          <w:rFonts w:ascii="Arial Bold" w:hAnsi="Arial Bold" w:cs="Arial"/>
          <w:b/>
          <w:bCs/>
          <w:color w:val="6C2768"/>
          <w:kern w:val="32"/>
          <w:sz w:val="28"/>
          <w:szCs w:val="32"/>
          <w:lang w:eastAsia="en-GB"/>
        </w:rPr>
        <w:t xml:space="preserve">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1DD" w:themeFill="accent3" w:themeFillTint="33"/>
        <w:tblLook w:val="04A0" w:firstRow="1" w:lastRow="0" w:firstColumn="1" w:lastColumn="0" w:noHBand="0" w:noVBand="1"/>
      </w:tblPr>
      <w:tblGrid>
        <w:gridCol w:w="6663"/>
      </w:tblGrid>
      <w:tr w:rsidR="00922D0F" w:rsidRPr="00971220" w:rsidTr="000A3998">
        <w:tc>
          <w:tcPr>
            <w:tcW w:w="6663" w:type="dxa"/>
            <w:shd w:val="clear" w:color="auto" w:fill="EAF1DD" w:themeFill="accent3" w:themeFillTint="33"/>
          </w:tcPr>
          <w:p w:rsidR="00922D0F" w:rsidRPr="00BA477C" w:rsidRDefault="00922D0F" w:rsidP="00922D0F">
            <w:pPr>
              <w:pStyle w:val="normalnumbered"/>
              <w:tabs>
                <w:tab w:val="clear" w:pos="2666"/>
              </w:tabs>
              <w:spacing w:after="120" w:line="264" w:lineRule="auto"/>
              <w:ind w:right="176"/>
              <w:jc w:val="left"/>
              <w:rPr>
                <w:b/>
                <w:color w:val="6C2768"/>
                <w:sz w:val="18"/>
                <w:szCs w:val="18"/>
              </w:rPr>
            </w:pPr>
            <w:bookmarkStart w:id="94" w:name="_Toc422400106"/>
            <w:bookmarkStart w:id="95" w:name="_Toc422907644"/>
            <w:bookmarkStart w:id="96" w:name="_Toc424128477"/>
            <w:r w:rsidRPr="00BA477C">
              <w:rPr>
                <w:b/>
                <w:color w:val="6C2768"/>
                <w:sz w:val="18"/>
                <w:szCs w:val="18"/>
              </w:rPr>
              <w:t>Summary of Key Points</w:t>
            </w:r>
          </w:p>
          <w:p w:rsidR="00922D0F" w:rsidRPr="00922D0F" w:rsidRDefault="00922D0F" w:rsidP="000A3998">
            <w:pPr>
              <w:pStyle w:val="normalnumbered"/>
              <w:numPr>
                <w:ilvl w:val="0"/>
                <w:numId w:val="24"/>
              </w:numPr>
              <w:spacing w:after="120" w:line="264" w:lineRule="auto"/>
              <w:ind w:right="176"/>
              <w:rPr>
                <w:sz w:val="18"/>
                <w:szCs w:val="18"/>
              </w:rPr>
            </w:pPr>
            <w:r w:rsidRPr="00570B2F">
              <w:rPr>
                <w:sz w:val="18"/>
                <w:szCs w:val="18"/>
              </w:rPr>
              <w:t>High vacancy rates have been a feature of the visitor economy for many years</w:t>
            </w:r>
            <w:r>
              <w:rPr>
                <w:sz w:val="18"/>
                <w:szCs w:val="18"/>
              </w:rPr>
              <w:t xml:space="preserve"> </w:t>
            </w:r>
            <w:r w:rsidRPr="00922D0F">
              <w:rPr>
                <w:sz w:val="18"/>
                <w:szCs w:val="18"/>
              </w:rPr>
              <w:t xml:space="preserve">and continue to be the </w:t>
            </w:r>
            <w:r w:rsidR="000A3998">
              <w:rPr>
                <w:sz w:val="18"/>
                <w:szCs w:val="18"/>
              </w:rPr>
              <w:t>prevalent</w:t>
            </w:r>
            <w:r w:rsidRPr="00922D0F">
              <w:rPr>
                <w:sz w:val="18"/>
                <w:szCs w:val="18"/>
              </w:rPr>
              <w:t xml:space="preserve">, both nationally and in Lancashire. Staff turnover has declined, although at more than 18% in 2012, it remains amongst the highest of any sector in the country.  </w:t>
            </w:r>
          </w:p>
          <w:p w:rsidR="00922D0F" w:rsidRDefault="00922D0F" w:rsidP="00922D0F">
            <w:pPr>
              <w:pStyle w:val="normalnumbered"/>
              <w:numPr>
                <w:ilvl w:val="0"/>
                <w:numId w:val="24"/>
              </w:numPr>
              <w:spacing w:after="120" w:line="264" w:lineRule="auto"/>
              <w:ind w:right="176"/>
              <w:rPr>
                <w:sz w:val="18"/>
                <w:szCs w:val="18"/>
              </w:rPr>
            </w:pPr>
            <w:r>
              <w:rPr>
                <w:sz w:val="18"/>
                <w:szCs w:val="18"/>
              </w:rPr>
              <w:t>There are numerous reasons why recruitment and retention challenges exist in the visitor economy</w:t>
            </w:r>
            <w:r w:rsidRPr="00922D0F">
              <w:rPr>
                <w:sz w:val="18"/>
                <w:szCs w:val="18"/>
              </w:rPr>
              <w:t>.</w:t>
            </w:r>
            <w:r>
              <w:rPr>
                <w:sz w:val="18"/>
                <w:szCs w:val="18"/>
              </w:rPr>
              <w:t xml:space="preserve"> Average wages are less than half of the all-sector average for Lancashire</w:t>
            </w:r>
            <w:r w:rsidR="000A3998">
              <w:rPr>
                <w:sz w:val="18"/>
                <w:szCs w:val="18"/>
              </w:rPr>
              <w:t xml:space="preserve"> and </w:t>
            </w:r>
            <w:r>
              <w:rPr>
                <w:sz w:val="18"/>
                <w:szCs w:val="18"/>
              </w:rPr>
              <w:t xml:space="preserve">weekend and evening working is common. Employers are also strongly of the view that full breath of jobs and careers available in the visitor economy are not being accurately conveyed to young people, especially in schools, and that a career in the sector is often seen as </w:t>
            </w:r>
            <w:r w:rsidR="000A3998">
              <w:rPr>
                <w:sz w:val="18"/>
                <w:szCs w:val="18"/>
              </w:rPr>
              <w:t xml:space="preserve">a </w:t>
            </w:r>
            <w:r>
              <w:rPr>
                <w:sz w:val="18"/>
                <w:szCs w:val="18"/>
              </w:rPr>
              <w:t>second best</w:t>
            </w:r>
            <w:r w:rsidR="000A3998">
              <w:rPr>
                <w:sz w:val="18"/>
                <w:szCs w:val="18"/>
              </w:rPr>
              <w:t xml:space="preserve"> option</w:t>
            </w:r>
            <w:r>
              <w:rPr>
                <w:sz w:val="18"/>
                <w:szCs w:val="18"/>
              </w:rPr>
              <w:t xml:space="preserve">.      </w:t>
            </w:r>
          </w:p>
          <w:p w:rsidR="00922D0F" w:rsidRDefault="00922D0F" w:rsidP="00922D0F">
            <w:pPr>
              <w:pStyle w:val="normalnumbered"/>
              <w:numPr>
                <w:ilvl w:val="0"/>
                <w:numId w:val="24"/>
              </w:numPr>
              <w:spacing w:after="120" w:line="264" w:lineRule="auto"/>
              <w:ind w:right="176"/>
              <w:rPr>
                <w:sz w:val="18"/>
                <w:szCs w:val="18"/>
              </w:rPr>
            </w:pPr>
            <w:r w:rsidRPr="00922D0F">
              <w:rPr>
                <w:sz w:val="18"/>
                <w:szCs w:val="18"/>
              </w:rPr>
              <w:t>Employer</w:t>
            </w:r>
            <w:r w:rsidR="000A3998">
              <w:rPr>
                <w:sz w:val="18"/>
                <w:szCs w:val="18"/>
              </w:rPr>
              <w:t xml:space="preserve">s </w:t>
            </w:r>
            <w:r>
              <w:rPr>
                <w:sz w:val="18"/>
                <w:szCs w:val="18"/>
              </w:rPr>
              <w:t xml:space="preserve">also </w:t>
            </w:r>
            <w:r w:rsidRPr="00922D0F">
              <w:rPr>
                <w:sz w:val="18"/>
                <w:szCs w:val="18"/>
              </w:rPr>
              <w:t xml:space="preserve">expect higher standards </w:t>
            </w:r>
            <w:r w:rsidR="000A3998">
              <w:rPr>
                <w:sz w:val="18"/>
                <w:szCs w:val="18"/>
              </w:rPr>
              <w:t xml:space="preserve">in terms of employability and say that </w:t>
            </w:r>
            <w:r w:rsidRPr="00922D0F">
              <w:rPr>
                <w:sz w:val="18"/>
                <w:szCs w:val="18"/>
              </w:rPr>
              <w:t>too few job applicants (especially young people) have the requisite work readiness skills t</w:t>
            </w:r>
            <w:r w:rsidR="000A3998">
              <w:rPr>
                <w:sz w:val="18"/>
                <w:szCs w:val="18"/>
              </w:rPr>
              <w:t xml:space="preserve">o </w:t>
            </w:r>
            <w:r w:rsidRPr="00922D0F">
              <w:rPr>
                <w:sz w:val="18"/>
                <w:szCs w:val="18"/>
              </w:rPr>
              <w:t>give the employers confidence that taking them on will be low risk</w:t>
            </w:r>
            <w:r>
              <w:rPr>
                <w:sz w:val="18"/>
                <w:szCs w:val="18"/>
              </w:rPr>
              <w:t xml:space="preserve">.  </w:t>
            </w:r>
          </w:p>
          <w:p w:rsidR="00922D0F" w:rsidRPr="00922D0F" w:rsidRDefault="00922D0F" w:rsidP="00922D0F">
            <w:pPr>
              <w:pStyle w:val="normalnumbered"/>
              <w:numPr>
                <w:ilvl w:val="0"/>
                <w:numId w:val="24"/>
              </w:numPr>
              <w:spacing w:after="120" w:line="264" w:lineRule="auto"/>
              <w:ind w:right="176"/>
              <w:rPr>
                <w:sz w:val="18"/>
                <w:szCs w:val="18"/>
              </w:rPr>
            </w:pPr>
            <w:r>
              <w:rPr>
                <w:sz w:val="18"/>
                <w:szCs w:val="18"/>
              </w:rPr>
              <w:t>A related issue has also been identified around soft skills, and in particular c</w:t>
            </w:r>
            <w:r w:rsidRPr="004D67E8">
              <w:rPr>
                <w:sz w:val="18"/>
                <w:szCs w:val="18"/>
              </w:rPr>
              <w:t>ustomer h</w:t>
            </w:r>
            <w:r>
              <w:rPr>
                <w:sz w:val="18"/>
                <w:szCs w:val="18"/>
              </w:rPr>
              <w:t xml:space="preserve">andling, </w:t>
            </w:r>
            <w:r w:rsidRPr="004D67E8">
              <w:rPr>
                <w:sz w:val="18"/>
                <w:szCs w:val="18"/>
              </w:rPr>
              <w:t>planning and organisation</w:t>
            </w:r>
            <w:r>
              <w:rPr>
                <w:sz w:val="18"/>
                <w:szCs w:val="18"/>
              </w:rPr>
              <w:t xml:space="preserve">, </w:t>
            </w:r>
            <w:r w:rsidRPr="004D67E8">
              <w:rPr>
                <w:sz w:val="18"/>
                <w:szCs w:val="18"/>
              </w:rPr>
              <w:t>oral communication and team work.</w:t>
            </w:r>
            <w:r w:rsidRPr="00922D0F">
              <w:rPr>
                <w:sz w:val="18"/>
                <w:szCs w:val="18"/>
              </w:rPr>
              <w:t xml:space="preserve"> </w:t>
            </w:r>
            <w:r w:rsidRPr="00922D0F">
              <w:rPr>
                <w:rFonts w:cs="Arial"/>
                <w:sz w:val="18"/>
                <w:szCs w:val="18"/>
              </w:rPr>
              <w:t xml:space="preserve"> </w:t>
            </w:r>
          </w:p>
          <w:p w:rsidR="00922D0F" w:rsidRPr="00922D0F" w:rsidRDefault="00922D0F" w:rsidP="000A3998">
            <w:pPr>
              <w:pStyle w:val="normalnumbered"/>
              <w:numPr>
                <w:ilvl w:val="0"/>
                <w:numId w:val="24"/>
              </w:numPr>
              <w:spacing w:after="120" w:line="264" w:lineRule="auto"/>
              <w:ind w:right="176"/>
              <w:rPr>
                <w:sz w:val="18"/>
                <w:szCs w:val="18"/>
              </w:rPr>
            </w:pPr>
            <w:r>
              <w:rPr>
                <w:sz w:val="18"/>
                <w:szCs w:val="18"/>
              </w:rPr>
              <w:t xml:space="preserve">Apprenticeship numbers in the sector have fallen significantly and the employers consulted for this study spoke of difficulties in finding suitable candidates for their apprenticeship vacancies.  Some have disengaged from apprenticeships completely and are trying instead to develop their future workforce through work experience and placement schemes.  </w:t>
            </w:r>
          </w:p>
        </w:tc>
      </w:tr>
    </w:tbl>
    <w:p w:rsidR="00922D0F" w:rsidRDefault="00922D0F" w:rsidP="00922D0F">
      <w:pPr>
        <w:pStyle w:val="normalnumbered"/>
        <w:tabs>
          <w:tab w:val="clear" w:pos="2666"/>
        </w:tabs>
        <w:spacing w:after="120" w:line="264" w:lineRule="auto"/>
        <w:ind w:left="1112" w:right="40" w:firstLine="0"/>
        <w:rPr>
          <w:sz w:val="2"/>
          <w:szCs w:val="2"/>
        </w:rPr>
      </w:pPr>
    </w:p>
    <w:p w:rsidR="00922D0F" w:rsidRDefault="00922D0F" w:rsidP="00922D0F">
      <w:pPr>
        <w:pStyle w:val="normalnumbered"/>
        <w:tabs>
          <w:tab w:val="clear" w:pos="2666"/>
        </w:tabs>
        <w:spacing w:after="120" w:line="264" w:lineRule="auto"/>
        <w:ind w:left="1112" w:right="40" w:firstLine="0"/>
        <w:rPr>
          <w:sz w:val="2"/>
          <w:szCs w:val="2"/>
        </w:rPr>
      </w:pPr>
    </w:p>
    <w:p w:rsidR="00922D0F" w:rsidRDefault="00922D0F" w:rsidP="00922D0F">
      <w:pPr>
        <w:pStyle w:val="normalnumbered"/>
        <w:tabs>
          <w:tab w:val="clear" w:pos="2666"/>
        </w:tabs>
        <w:spacing w:after="120" w:line="264" w:lineRule="auto"/>
        <w:ind w:left="1112" w:right="40" w:firstLine="0"/>
        <w:rPr>
          <w:sz w:val="2"/>
          <w:szCs w:val="2"/>
        </w:rPr>
      </w:pPr>
    </w:p>
    <w:p w:rsidR="000A3998" w:rsidRDefault="000A3998" w:rsidP="00922D0F">
      <w:pPr>
        <w:pStyle w:val="normalnumbered"/>
        <w:tabs>
          <w:tab w:val="clear" w:pos="2666"/>
        </w:tabs>
        <w:spacing w:after="120" w:line="264" w:lineRule="auto"/>
        <w:ind w:left="1112" w:right="40" w:firstLine="0"/>
        <w:rPr>
          <w:sz w:val="2"/>
          <w:szCs w:val="2"/>
        </w:rPr>
      </w:pPr>
    </w:p>
    <w:p w:rsidR="000A3998" w:rsidRDefault="000A3998" w:rsidP="00922D0F">
      <w:pPr>
        <w:pStyle w:val="normalnumbered"/>
        <w:tabs>
          <w:tab w:val="clear" w:pos="2666"/>
        </w:tabs>
        <w:spacing w:after="120" w:line="264" w:lineRule="auto"/>
        <w:ind w:left="1112" w:right="40" w:firstLine="0"/>
        <w:rPr>
          <w:sz w:val="2"/>
          <w:szCs w:val="2"/>
        </w:rPr>
      </w:pPr>
    </w:p>
    <w:p w:rsidR="000A3998" w:rsidRDefault="000A3998" w:rsidP="00922D0F">
      <w:pPr>
        <w:pStyle w:val="normalnumbered"/>
        <w:tabs>
          <w:tab w:val="clear" w:pos="2666"/>
        </w:tabs>
        <w:spacing w:after="120" w:line="264" w:lineRule="auto"/>
        <w:ind w:left="1112" w:right="40" w:firstLine="0"/>
        <w:rPr>
          <w:sz w:val="2"/>
          <w:szCs w:val="2"/>
        </w:rPr>
      </w:pPr>
    </w:p>
    <w:p w:rsidR="00922D0F" w:rsidRPr="00D14630" w:rsidRDefault="00922D0F" w:rsidP="00922D0F">
      <w:pPr>
        <w:pStyle w:val="normalnumbered"/>
        <w:tabs>
          <w:tab w:val="clear" w:pos="2666"/>
        </w:tabs>
        <w:spacing w:after="120" w:line="264" w:lineRule="auto"/>
        <w:ind w:left="1112" w:right="40" w:firstLine="0"/>
        <w:rPr>
          <w:sz w:val="2"/>
          <w:szCs w:val="2"/>
        </w:rPr>
      </w:pPr>
    </w:p>
    <w:p w:rsidR="007C6E53" w:rsidRPr="00BA3E87" w:rsidRDefault="007C6E53" w:rsidP="007C6E53">
      <w:pPr>
        <w:keepNext/>
        <w:spacing w:before="360"/>
        <w:ind w:right="1627"/>
        <w:outlineLvl w:val="1"/>
        <w:rPr>
          <w:rFonts w:ascii="Arial Bold" w:hAnsi="Arial Bold" w:cs="Arial"/>
          <w:b/>
          <w:color w:val="6C2768"/>
          <w:sz w:val="22"/>
          <w:szCs w:val="22"/>
        </w:rPr>
      </w:pPr>
      <w:r w:rsidRPr="00BA3E87">
        <w:rPr>
          <w:rFonts w:ascii="Arial Bold" w:hAnsi="Arial Bold" w:cs="Arial"/>
          <w:b/>
          <w:color w:val="6C2768"/>
          <w:sz w:val="22"/>
          <w:szCs w:val="22"/>
        </w:rPr>
        <w:lastRenderedPageBreak/>
        <w:t>Introduction</w:t>
      </w:r>
      <w:bookmarkEnd w:id="94"/>
      <w:bookmarkEnd w:id="95"/>
      <w:bookmarkEnd w:id="96"/>
    </w:p>
    <w:p w:rsidR="006C256B" w:rsidRDefault="006C256B" w:rsidP="006C256B">
      <w:pPr>
        <w:pStyle w:val="normalnumbered"/>
        <w:numPr>
          <w:ilvl w:val="1"/>
          <w:numId w:val="1"/>
        </w:numPr>
        <w:tabs>
          <w:tab w:val="clear" w:pos="2666"/>
          <w:tab w:val="num" w:pos="709"/>
        </w:tabs>
        <w:spacing w:line="264" w:lineRule="auto"/>
        <w:ind w:left="0" w:right="40" w:firstLine="0"/>
        <w:rPr>
          <w:sz w:val="18"/>
          <w:szCs w:val="18"/>
        </w:rPr>
      </w:pPr>
      <w:r w:rsidRPr="00A40EAD">
        <w:rPr>
          <w:sz w:val="18"/>
          <w:szCs w:val="18"/>
        </w:rPr>
        <w:t>The visitor economy has above average job vacancy rates and levels of staff turnover that are highe</w:t>
      </w:r>
      <w:r w:rsidR="002E37BF" w:rsidRPr="00A40EAD">
        <w:rPr>
          <w:sz w:val="18"/>
          <w:szCs w:val="18"/>
        </w:rPr>
        <w:t xml:space="preserve">r than </w:t>
      </w:r>
      <w:r w:rsidRPr="00A40EAD">
        <w:rPr>
          <w:sz w:val="18"/>
          <w:szCs w:val="18"/>
        </w:rPr>
        <w:t xml:space="preserve">any </w:t>
      </w:r>
      <w:r w:rsidR="002E37BF" w:rsidRPr="00A40EAD">
        <w:rPr>
          <w:sz w:val="18"/>
          <w:szCs w:val="18"/>
        </w:rPr>
        <w:t xml:space="preserve">other </w:t>
      </w:r>
      <w:r w:rsidRPr="00A40EAD">
        <w:rPr>
          <w:sz w:val="18"/>
          <w:szCs w:val="18"/>
        </w:rPr>
        <w:t>sector in the country.  This chapter explores the recruitment and retention issues facing the sector</w:t>
      </w:r>
      <w:r w:rsidR="002E37BF" w:rsidRPr="00A40EAD">
        <w:rPr>
          <w:sz w:val="18"/>
          <w:szCs w:val="18"/>
        </w:rPr>
        <w:t xml:space="preserve"> and, in doing so, draws on published data/reports and feedback obtained from employers </w:t>
      </w:r>
      <w:r w:rsidR="00A40EAD">
        <w:rPr>
          <w:sz w:val="18"/>
          <w:szCs w:val="18"/>
        </w:rPr>
        <w:t xml:space="preserve">gathered </w:t>
      </w:r>
      <w:r w:rsidR="002E37BF" w:rsidRPr="00A40EAD">
        <w:rPr>
          <w:sz w:val="18"/>
          <w:szCs w:val="18"/>
        </w:rPr>
        <w:t xml:space="preserve">for the purposes of this plan. </w:t>
      </w:r>
      <w:r w:rsidRPr="00A40EAD">
        <w:rPr>
          <w:sz w:val="18"/>
          <w:szCs w:val="18"/>
        </w:rPr>
        <w:t xml:space="preserve"> </w:t>
      </w:r>
    </w:p>
    <w:p w:rsidR="00570B2F" w:rsidRPr="00570B2F" w:rsidRDefault="00570B2F" w:rsidP="00570B2F">
      <w:pPr>
        <w:pStyle w:val="normalnumbered"/>
        <w:numPr>
          <w:ilvl w:val="1"/>
          <w:numId w:val="1"/>
        </w:numPr>
        <w:tabs>
          <w:tab w:val="clear" w:pos="2666"/>
          <w:tab w:val="num" w:pos="709"/>
        </w:tabs>
        <w:spacing w:line="264" w:lineRule="auto"/>
        <w:ind w:left="0" w:right="40" w:firstLine="0"/>
        <w:rPr>
          <w:b/>
          <w:sz w:val="18"/>
          <w:szCs w:val="18"/>
        </w:rPr>
      </w:pPr>
      <w:r w:rsidRPr="00570B2F">
        <w:rPr>
          <w:b/>
          <w:sz w:val="18"/>
          <w:szCs w:val="18"/>
        </w:rPr>
        <w:t xml:space="preserve">The chapter draws on data from the </w:t>
      </w:r>
      <w:r>
        <w:rPr>
          <w:b/>
          <w:sz w:val="18"/>
          <w:szCs w:val="18"/>
        </w:rPr>
        <w:t xml:space="preserve">National Employer Skills Survey 2009 and the </w:t>
      </w:r>
      <w:r w:rsidRPr="00570B2F">
        <w:rPr>
          <w:b/>
          <w:sz w:val="18"/>
          <w:szCs w:val="18"/>
        </w:rPr>
        <w:t xml:space="preserve">UK Employer Skills Surveys 2011 and 2013.  In each of these surveys, the sector classification most relevant to the visitor economy is ‘hotels and restaurants’ (other parts of the visitor economy are subsumed within different sectoral classifications).  It is therefore important </w:t>
      </w:r>
      <w:r>
        <w:rPr>
          <w:b/>
          <w:sz w:val="18"/>
          <w:szCs w:val="18"/>
        </w:rPr>
        <w:t xml:space="preserve">when interpreting the findings </w:t>
      </w:r>
      <w:r w:rsidRPr="00570B2F">
        <w:rPr>
          <w:b/>
          <w:sz w:val="18"/>
          <w:szCs w:val="18"/>
        </w:rPr>
        <w:t xml:space="preserve">to remember that findings from the </w:t>
      </w:r>
      <w:r>
        <w:rPr>
          <w:b/>
          <w:sz w:val="18"/>
          <w:szCs w:val="18"/>
        </w:rPr>
        <w:t xml:space="preserve">National/UK </w:t>
      </w:r>
      <w:r w:rsidRPr="00570B2F">
        <w:rPr>
          <w:b/>
          <w:sz w:val="18"/>
          <w:szCs w:val="18"/>
        </w:rPr>
        <w:t xml:space="preserve">Employer Skills Surveys reflect only a part of Lancashire’s visitor economy, albeit a significant one.       </w:t>
      </w:r>
    </w:p>
    <w:p w:rsidR="00173777" w:rsidRPr="00BA3E87" w:rsidRDefault="00173777" w:rsidP="00173777">
      <w:pPr>
        <w:spacing w:before="120" w:after="120" w:line="264" w:lineRule="auto"/>
        <w:jc w:val="both"/>
        <w:rPr>
          <w:rFonts w:ascii="Arial Bold" w:hAnsi="Arial Bold" w:cs="Arial"/>
          <w:b/>
          <w:color w:val="6C2768"/>
          <w:sz w:val="22"/>
          <w:szCs w:val="22"/>
          <w:lang w:eastAsia="en-GB"/>
        </w:rPr>
      </w:pPr>
      <w:r w:rsidRPr="00BA3E87">
        <w:rPr>
          <w:rFonts w:ascii="Arial Bold" w:hAnsi="Arial Bold" w:cs="Arial"/>
          <w:b/>
          <w:color w:val="6C2768"/>
          <w:sz w:val="22"/>
          <w:szCs w:val="22"/>
          <w:lang w:eastAsia="en-GB"/>
        </w:rPr>
        <w:t xml:space="preserve">Vacancies: National Survey Data </w:t>
      </w:r>
    </w:p>
    <w:p w:rsidR="00173777" w:rsidRPr="00570B2F" w:rsidRDefault="002E37BF" w:rsidP="002E37BF">
      <w:pPr>
        <w:pStyle w:val="normalnumbered"/>
        <w:numPr>
          <w:ilvl w:val="1"/>
          <w:numId w:val="1"/>
        </w:numPr>
        <w:tabs>
          <w:tab w:val="clear" w:pos="2666"/>
          <w:tab w:val="num" w:pos="709"/>
        </w:tabs>
        <w:spacing w:line="264" w:lineRule="auto"/>
        <w:ind w:left="0" w:right="40" w:firstLine="0"/>
        <w:rPr>
          <w:sz w:val="18"/>
          <w:szCs w:val="18"/>
        </w:rPr>
      </w:pPr>
      <w:r w:rsidRPr="00570B2F">
        <w:rPr>
          <w:sz w:val="18"/>
          <w:szCs w:val="18"/>
        </w:rPr>
        <w:t xml:space="preserve">High vacancy rates have been a feature of the visitor economy for many years.  </w:t>
      </w:r>
      <w:r w:rsidR="00173777" w:rsidRPr="00570B2F">
        <w:rPr>
          <w:sz w:val="18"/>
          <w:szCs w:val="18"/>
        </w:rPr>
        <w:t xml:space="preserve">The 2009 National Employer Skills Survey, for example, found that 17% of </w:t>
      </w:r>
      <w:r w:rsidR="00570B2F">
        <w:rPr>
          <w:sz w:val="18"/>
          <w:szCs w:val="18"/>
        </w:rPr>
        <w:t>hotels and restaurants</w:t>
      </w:r>
      <w:r w:rsidR="00173777" w:rsidRPr="00570B2F">
        <w:rPr>
          <w:sz w:val="18"/>
          <w:szCs w:val="18"/>
        </w:rPr>
        <w:t xml:space="preserve"> reported having one or more vacancies, compared with the all-sector national average of 12%.  This message was reinforced in the 2011 and 2013 surveys</w:t>
      </w:r>
      <w:r w:rsidR="00173777" w:rsidRPr="00570B2F">
        <w:rPr>
          <w:rStyle w:val="FootnoteReference"/>
          <w:sz w:val="18"/>
          <w:szCs w:val="18"/>
        </w:rPr>
        <w:footnoteReference w:id="34"/>
      </w:r>
      <w:r w:rsidR="00173777" w:rsidRPr="00570B2F">
        <w:rPr>
          <w:sz w:val="18"/>
          <w:szCs w:val="18"/>
        </w:rPr>
        <w:t xml:space="preserve">, although by 2013 the gap had narrowed to three percentage points.  </w:t>
      </w:r>
    </w:p>
    <w:p w:rsidR="002E37BF" w:rsidRDefault="00173777" w:rsidP="00173777">
      <w:pPr>
        <w:pStyle w:val="normalnumbered"/>
        <w:numPr>
          <w:ilvl w:val="1"/>
          <w:numId w:val="1"/>
        </w:numPr>
        <w:tabs>
          <w:tab w:val="clear" w:pos="2666"/>
          <w:tab w:val="num" w:pos="709"/>
        </w:tabs>
        <w:spacing w:line="264" w:lineRule="auto"/>
        <w:ind w:left="0" w:right="40" w:firstLine="0"/>
        <w:rPr>
          <w:sz w:val="18"/>
          <w:szCs w:val="18"/>
        </w:rPr>
      </w:pPr>
      <w:r w:rsidRPr="00A143F9">
        <w:rPr>
          <w:sz w:val="18"/>
          <w:szCs w:val="18"/>
        </w:rPr>
        <w:t xml:space="preserve">It is a situation that is </w:t>
      </w:r>
      <w:r w:rsidRPr="00570B2F">
        <w:rPr>
          <w:sz w:val="18"/>
          <w:szCs w:val="18"/>
        </w:rPr>
        <w:t>also reflected at the Lancashire level: the 2013 UK Employer Skills Survey showed that 17% of Lancashire’s hotels and restaurants were reporting vacancies, compared with</w:t>
      </w:r>
      <w:r w:rsidRPr="00A143F9">
        <w:rPr>
          <w:sz w:val="18"/>
          <w:szCs w:val="18"/>
        </w:rPr>
        <w:t xml:space="preserve"> the all-sector average for Lancashire of 12%.  </w:t>
      </w:r>
    </w:p>
    <w:p w:rsidR="00173777" w:rsidRDefault="00173777" w:rsidP="00173777">
      <w:pPr>
        <w:pStyle w:val="normalnumbered"/>
        <w:numPr>
          <w:ilvl w:val="1"/>
          <w:numId w:val="1"/>
        </w:numPr>
        <w:tabs>
          <w:tab w:val="clear" w:pos="2666"/>
          <w:tab w:val="num" w:pos="709"/>
        </w:tabs>
        <w:spacing w:line="264" w:lineRule="auto"/>
        <w:ind w:left="0" w:right="40" w:firstLine="0"/>
        <w:rPr>
          <w:sz w:val="18"/>
          <w:szCs w:val="18"/>
        </w:rPr>
      </w:pPr>
      <w:r w:rsidRPr="00A143F9">
        <w:rPr>
          <w:sz w:val="18"/>
          <w:szCs w:val="18"/>
        </w:rPr>
        <w:t xml:space="preserve">However, the 2013 survey also </w:t>
      </w:r>
      <w:r w:rsidRPr="00570B2F">
        <w:rPr>
          <w:sz w:val="18"/>
          <w:szCs w:val="18"/>
        </w:rPr>
        <w:t>shows that hotels and restaurants tend to have fewer vacancies that are hard to fill or are classed as ‘skills</w:t>
      </w:r>
      <w:r w:rsidRPr="00A143F9">
        <w:rPr>
          <w:sz w:val="18"/>
          <w:szCs w:val="18"/>
        </w:rPr>
        <w:t xml:space="preserve"> shortage vacancies’, where candidates are reported to lack the necessary skills for the job. There could be several reasons for this, although it is of note that many of the employers consulted for this work have said that they recruit </w:t>
      </w:r>
      <w:r w:rsidRPr="00A143F9">
        <w:rPr>
          <w:i/>
          <w:sz w:val="18"/>
          <w:szCs w:val="18"/>
        </w:rPr>
        <w:t>“on attitudes, not specific skills”</w:t>
      </w:r>
      <w:r w:rsidRPr="00A143F9">
        <w:rPr>
          <w:sz w:val="18"/>
          <w:szCs w:val="18"/>
        </w:rPr>
        <w:t xml:space="preserve"> (to quote a hotelier).  In other words, it is not technical or job </w:t>
      </w:r>
      <w:r w:rsidRPr="00A143F9">
        <w:rPr>
          <w:sz w:val="18"/>
          <w:szCs w:val="18"/>
        </w:rPr>
        <w:lastRenderedPageBreak/>
        <w:t>specific skills that they prioritise when recruiting, but rather the demonstration of the right attitude (</w:t>
      </w:r>
      <w:r w:rsidRPr="00A143F9">
        <w:rPr>
          <w:i/>
          <w:sz w:val="18"/>
          <w:szCs w:val="18"/>
        </w:rPr>
        <w:t>“we recruit attitudes; we teach skills”</w:t>
      </w:r>
      <w:r w:rsidRPr="00A143F9">
        <w:rPr>
          <w:sz w:val="18"/>
          <w:szCs w:val="18"/>
        </w:rPr>
        <w:t xml:space="preserve"> said another consultee).  </w:t>
      </w:r>
    </w:p>
    <w:tbl>
      <w:tblPr>
        <w:tblW w:w="47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542"/>
        <w:gridCol w:w="1843"/>
      </w:tblGrid>
      <w:tr w:rsidR="00173777" w:rsidRPr="008A419C" w:rsidTr="00712619">
        <w:trPr>
          <w:cantSplit/>
          <w:trHeight w:val="255"/>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vAlign w:val="center"/>
          </w:tcPr>
          <w:p w:rsidR="00173777" w:rsidRPr="008A419C" w:rsidRDefault="00173777" w:rsidP="00173777">
            <w:pPr>
              <w:rPr>
                <w:rFonts w:ascii="Arial" w:hAnsi="Arial" w:cs="Arial"/>
                <w:b/>
                <w:bCs/>
                <w:iCs/>
                <w:sz w:val="18"/>
                <w:szCs w:val="18"/>
              </w:rPr>
            </w:pPr>
            <w:r w:rsidRPr="000F695E">
              <w:rPr>
                <w:rFonts w:ascii="Arial" w:hAnsi="Arial" w:cs="Arial"/>
                <w:b/>
                <w:color w:val="FFFFFF" w:themeColor="background1"/>
                <w:sz w:val="18"/>
                <w:szCs w:val="18"/>
              </w:rPr>
              <w:t xml:space="preserve">Vacancies in </w:t>
            </w:r>
            <w:r>
              <w:rPr>
                <w:rFonts w:ascii="Arial" w:hAnsi="Arial" w:cs="Arial"/>
                <w:b/>
                <w:color w:val="FFFFFF" w:themeColor="background1"/>
                <w:sz w:val="18"/>
                <w:szCs w:val="18"/>
              </w:rPr>
              <w:t xml:space="preserve">the </w:t>
            </w:r>
            <w:r w:rsidRPr="000F695E">
              <w:rPr>
                <w:rFonts w:ascii="Arial" w:hAnsi="Arial" w:cs="Arial"/>
                <w:b/>
                <w:color w:val="FFFFFF" w:themeColor="background1"/>
                <w:sz w:val="18"/>
                <w:szCs w:val="18"/>
              </w:rPr>
              <w:t>Lancashire LEP</w:t>
            </w:r>
            <w:r>
              <w:rPr>
                <w:rFonts w:ascii="Arial" w:hAnsi="Arial" w:cs="Arial"/>
                <w:b/>
                <w:color w:val="FFFFFF" w:themeColor="background1"/>
                <w:sz w:val="18"/>
                <w:szCs w:val="18"/>
              </w:rPr>
              <w:t xml:space="preserve"> Area </w:t>
            </w:r>
          </w:p>
        </w:tc>
      </w:tr>
      <w:tr w:rsidR="00173777" w:rsidRPr="008A419C" w:rsidTr="00712619">
        <w:trPr>
          <w:cantSplit/>
          <w:trHeight w:val="255"/>
        </w:trPr>
        <w:tc>
          <w:tcPr>
            <w:tcW w:w="2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8A419C" w:rsidRDefault="00173777" w:rsidP="00173777">
            <w:pPr>
              <w:keepNext/>
              <w:outlineLvl w:val="1"/>
              <w:rPr>
                <w:rFonts w:ascii="Arial" w:hAnsi="Arial" w:cs="Arial"/>
                <w:b/>
                <w:bCs/>
                <w:iCs/>
                <w:sz w:val="18"/>
                <w:szCs w:val="18"/>
              </w:rPr>
            </w:pPr>
          </w:p>
        </w:tc>
        <w:tc>
          <w:tcPr>
            <w:tcW w:w="11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FA0190" w:rsidRDefault="00173777" w:rsidP="00173777">
            <w:pPr>
              <w:jc w:val="right"/>
              <w:rPr>
                <w:rFonts w:ascii="Arial" w:hAnsi="Arial" w:cs="Arial"/>
                <w:b/>
                <w:color w:val="000000"/>
                <w:sz w:val="18"/>
                <w:szCs w:val="18"/>
              </w:rPr>
            </w:pPr>
            <w:r>
              <w:rPr>
                <w:rFonts w:ascii="Arial" w:hAnsi="Arial" w:cs="Arial"/>
                <w:b/>
                <w:color w:val="000000"/>
                <w:sz w:val="18"/>
                <w:szCs w:val="18"/>
              </w:rPr>
              <w:t xml:space="preserve">Lancashire </w:t>
            </w:r>
            <w:r w:rsidRPr="00FA0190">
              <w:rPr>
                <w:rFonts w:ascii="Arial" w:hAnsi="Arial" w:cs="Arial"/>
                <w:b/>
                <w:color w:val="000000"/>
                <w:sz w:val="18"/>
                <w:szCs w:val="18"/>
              </w:rPr>
              <w:t>Total</w:t>
            </w:r>
          </w:p>
        </w:tc>
        <w:tc>
          <w:tcPr>
            <w:tcW w:w="14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FA0190" w:rsidRDefault="00173777" w:rsidP="00173777">
            <w:pPr>
              <w:jc w:val="right"/>
              <w:rPr>
                <w:rFonts w:ascii="Arial" w:hAnsi="Arial" w:cs="Arial"/>
                <w:b/>
                <w:color w:val="000000"/>
                <w:sz w:val="18"/>
                <w:szCs w:val="18"/>
              </w:rPr>
            </w:pPr>
            <w:r>
              <w:rPr>
                <w:rFonts w:ascii="Arial" w:hAnsi="Arial" w:cs="Arial"/>
                <w:b/>
                <w:color w:val="000000"/>
                <w:sz w:val="18"/>
                <w:szCs w:val="18"/>
              </w:rPr>
              <w:t xml:space="preserve">Lancashire </w:t>
            </w:r>
            <w:r w:rsidRPr="00FA0190">
              <w:rPr>
                <w:rFonts w:ascii="Arial" w:hAnsi="Arial" w:cs="Arial"/>
                <w:b/>
                <w:color w:val="000000"/>
                <w:sz w:val="18"/>
                <w:szCs w:val="18"/>
              </w:rPr>
              <w:t>Hotels and Restaurants</w:t>
            </w:r>
          </w:p>
        </w:tc>
      </w:tr>
      <w:tr w:rsidR="00173777" w:rsidRPr="008A419C" w:rsidTr="00712619">
        <w:trPr>
          <w:cantSplit/>
          <w:trHeight w:val="255"/>
        </w:trPr>
        <w:tc>
          <w:tcPr>
            <w:tcW w:w="2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rPr>
                <w:rFonts w:ascii="Arial" w:hAnsi="Arial" w:cs="Arial"/>
                <w:color w:val="000000"/>
                <w:sz w:val="18"/>
                <w:szCs w:val="18"/>
              </w:rPr>
            </w:pPr>
            <w:r w:rsidRPr="006B5960">
              <w:rPr>
                <w:rFonts w:ascii="Arial" w:hAnsi="Arial" w:cs="Arial"/>
                <w:color w:val="000000"/>
                <w:sz w:val="18"/>
                <w:szCs w:val="18"/>
              </w:rPr>
              <w:t>Establishments with vacancies</w:t>
            </w:r>
          </w:p>
        </w:tc>
        <w:tc>
          <w:tcPr>
            <w:tcW w:w="11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12%</w:t>
            </w:r>
          </w:p>
        </w:tc>
        <w:tc>
          <w:tcPr>
            <w:tcW w:w="14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17%</w:t>
            </w:r>
          </w:p>
        </w:tc>
      </w:tr>
      <w:tr w:rsidR="00173777" w:rsidRPr="008A419C" w:rsidTr="00712619">
        <w:trPr>
          <w:cantSplit/>
          <w:trHeight w:val="255"/>
        </w:trPr>
        <w:tc>
          <w:tcPr>
            <w:tcW w:w="2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rPr>
                <w:rFonts w:ascii="Arial" w:hAnsi="Arial" w:cs="Arial"/>
                <w:color w:val="000000"/>
                <w:sz w:val="18"/>
                <w:szCs w:val="18"/>
              </w:rPr>
            </w:pPr>
            <w:r w:rsidRPr="006B5960">
              <w:rPr>
                <w:rFonts w:ascii="Arial" w:hAnsi="Arial" w:cs="Arial"/>
                <w:color w:val="000000"/>
                <w:sz w:val="18"/>
                <w:szCs w:val="18"/>
              </w:rPr>
              <w:t>Have at least one vacancy that is hard to fill</w:t>
            </w:r>
          </w:p>
        </w:tc>
        <w:tc>
          <w:tcPr>
            <w:tcW w:w="11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4%</w:t>
            </w:r>
          </w:p>
        </w:tc>
        <w:tc>
          <w:tcPr>
            <w:tcW w:w="14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2%</w:t>
            </w:r>
          </w:p>
        </w:tc>
      </w:tr>
      <w:tr w:rsidR="00173777" w:rsidRPr="008A419C" w:rsidTr="00712619">
        <w:trPr>
          <w:cantSplit/>
          <w:trHeight w:val="255"/>
        </w:trPr>
        <w:tc>
          <w:tcPr>
            <w:tcW w:w="2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rPr>
                <w:rFonts w:ascii="Arial" w:hAnsi="Arial" w:cs="Arial"/>
                <w:color w:val="000000"/>
                <w:sz w:val="18"/>
                <w:szCs w:val="18"/>
              </w:rPr>
            </w:pPr>
            <w:r w:rsidRPr="006B5960">
              <w:rPr>
                <w:rFonts w:ascii="Arial" w:hAnsi="Arial" w:cs="Arial"/>
                <w:color w:val="000000"/>
                <w:sz w:val="18"/>
                <w:szCs w:val="18"/>
              </w:rPr>
              <w:t xml:space="preserve">Have a skills shortage vacancy </w:t>
            </w:r>
            <w:r>
              <w:rPr>
                <w:rFonts w:ascii="Arial" w:hAnsi="Arial" w:cs="Arial"/>
                <w:color w:val="000000"/>
                <w:sz w:val="18"/>
                <w:szCs w:val="18"/>
              </w:rPr>
              <w:t xml:space="preserve"> </w:t>
            </w:r>
          </w:p>
        </w:tc>
        <w:tc>
          <w:tcPr>
            <w:tcW w:w="11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3%</w:t>
            </w:r>
          </w:p>
        </w:tc>
        <w:tc>
          <w:tcPr>
            <w:tcW w:w="14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1%</w:t>
            </w:r>
          </w:p>
        </w:tc>
      </w:tr>
      <w:tr w:rsidR="00173777" w:rsidRPr="008A419C" w:rsidTr="00712619">
        <w:trPr>
          <w:cantSplit/>
          <w:trHeight w:val="255"/>
        </w:trPr>
        <w:tc>
          <w:tcPr>
            <w:tcW w:w="2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rPr>
                <w:rFonts w:ascii="Arial" w:hAnsi="Arial" w:cs="Arial"/>
                <w:color w:val="000000"/>
                <w:sz w:val="18"/>
                <w:szCs w:val="18"/>
              </w:rPr>
            </w:pPr>
            <w:r>
              <w:rPr>
                <w:rFonts w:ascii="Arial" w:hAnsi="Arial" w:cs="Arial"/>
                <w:color w:val="000000"/>
                <w:sz w:val="18"/>
                <w:szCs w:val="18"/>
              </w:rPr>
              <w:t xml:space="preserve">% of all vacancies which are skills shortages vacancies </w:t>
            </w:r>
          </w:p>
        </w:tc>
        <w:tc>
          <w:tcPr>
            <w:tcW w:w="11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23%</w:t>
            </w:r>
          </w:p>
        </w:tc>
        <w:tc>
          <w:tcPr>
            <w:tcW w:w="14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jc w:val="right"/>
              <w:rPr>
                <w:rFonts w:ascii="Arial" w:hAnsi="Arial" w:cs="Arial"/>
                <w:color w:val="000000"/>
                <w:sz w:val="18"/>
                <w:szCs w:val="18"/>
              </w:rPr>
            </w:pPr>
            <w:r w:rsidRPr="006B5960">
              <w:rPr>
                <w:rFonts w:ascii="Arial" w:hAnsi="Arial" w:cs="Arial"/>
                <w:color w:val="000000"/>
                <w:sz w:val="18"/>
                <w:szCs w:val="18"/>
              </w:rPr>
              <w:t>3%</w:t>
            </w:r>
          </w:p>
        </w:tc>
      </w:tr>
      <w:tr w:rsidR="00173777" w:rsidRPr="008A419C" w:rsidTr="00712619">
        <w:trPr>
          <w:cantSplit/>
          <w:trHeight w:val="255"/>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6B5960" w:rsidRDefault="00173777" w:rsidP="00173777">
            <w:pPr>
              <w:rPr>
                <w:rFonts w:ascii="Arial" w:hAnsi="Arial" w:cs="Arial"/>
                <w:bCs/>
                <w:iCs/>
                <w:sz w:val="16"/>
                <w:szCs w:val="16"/>
              </w:rPr>
            </w:pPr>
            <w:r w:rsidRPr="00FA0190">
              <w:rPr>
                <w:rFonts w:ascii="Arial" w:hAnsi="Arial" w:cs="Arial"/>
                <w:sz w:val="18"/>
                <w:szCs w:val="16"/>
              </w:rPr>
              <w:t>Source: UK Employer Skills Survey 2013</w:t>
            </w:r>
          </w:p>
        </w:tc>
      </w:tr>
    </w:tbl>
    <w:p w:rsidR="00173777" w:rsidRPr="00A524F7" w:rsidRDefault="00173777" w:rsidP="00173777">
      <w:pPr>
        <w:pStyle w:val="normalnumbered"/>
        <w:tabs>
          <w:tab w:val="clear" w:pos="2666"/>
        </w:tabs>
        <w:spacing w:line="264" w:lineRule="auto"/>
        <w:ind w:left="0" w:right="40" w:firstLine="0"/>
        <w:rPr>
          <w:color w:val="FF0000"/>
          <w:sz w:val="2"/>
          <w:szCs w:val="2"/>
        </w:rPr>
      </w:pPr>
    </w:p>
    <w:p w:rsidR="00173777" w:rsidRPr="00BA3E87" w:rsidRDefault="00173777" w:rsidP="00173777">
      <w:pPr>
        <w:tabs>
          <w:tab w:val="num" w:pos="860"/>
          <w:tab w:val="num" w:pos="1105"/>
        </w:tabs>
        <w:spacing w:before="120" w:after="120" w:line="288" w:lineRule="auto"/>
        <w:jc w:val="both"/>
        <w:rPr>
          <w:rFonts w:ascii="Arial Bold" w:hAnsi="Arial Bold" w:cs="Arial"/>
          <w:b/>
          <w:color w:val="6C2768"/>
          <w:sz w:val="20"/>
          <w:szCs w:val="20"/>
        </w:rPr>
      </w:pPr>
      <w:r w:rsidRPr="00BA3E87">
        <w:rPr>
          <w:rFonts w:ascii="Arial Bold" w:hAnsi="Arial Bold" w:cs="Arial"/>
          <w:b/>
          <w:color w:val="6C2768"/>
          <w:sz w:val="22"/>
          <w:szCs w:val="22"/>
          <w:lang w:eastAsia="en-GB"/>
        </w:rPr>
        <w:t xml:space="preserve">Vacancies: Labour Insights </w:t>
      </w:r>
    </w:p>
    <w:p w:rsidR="00173777" w:rsidRDefault="00173777" w:rsidP="0017377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 Labour Insights online labour market information system gathers data on the job vacancies advertised online across the UK.  Job postings are gathered from over 20,000 sources and categorised by occupation, sector and qualification requirement.  </w:t>
      </w:r>
    </w:p>
    <w:p w:rsidR="00173777" w:rsidRDefault="00173777" w:rsidP="0017377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 data shows that across the two categories most relevant to the visitor economy – ‘Accommodation and Food Service Activities’ and ‘Arts, Entertainment and Recreation’ – in excess of 1,300 vacancies were advertised in Lancashire in 2014.  This is 100 fewer than in 2013 but nearly 500 more than in 2012.  </w:t>
      </w: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240D18" w:rsidRDefault="00240D18" w:rsidP="00173777">
      <w:pPr>
        <w:pStyle w:val="normalnumbered"/>
        <w:tabs>
          <w:tab w:val="clear" w:pos="2666"/>
        </w:tabs>
        <w:spacing w:line="264" w:lineRule="auto"/>
        <w:ind w:left="0" w:right="40" w:firstLine="0"/>
        <w:rPr>
          <w:sz w:val="18"/>
          <w:szCs w:val="18"/>
        </w:rPr>
      </w:pPr>
    </w:p>
    <w:p w:rsidR="00240D18" w:rsidRDefault="00240D18"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tbl>
      <w:tblPr>
        <w:tblStyle w:val="TableGrid"/>
        <w:tblW w:w="0" w:type="auto"/>
        <w:tblLook w:val="04A0" w:firstRow="1" w:lastRow="0" w:firstColumn="1" w:lastColumn="0" w:noHBand="0" w:noVBand="1"/>
      </w:tblPr>
      <w:tblGrid>
        <w:gridCol w:w="2988"/>
        <w:gridCol w:w="818"/>
        <w:gridCol w:w="767"/>
        <w:gridCol w:w="788"/>
        <w:gridCol w:w="677"/>
        <w:gridCol w:w="795"/>
      </w:tblGrid>
      <w:tr w:rsidR="00173777" w:rsidRPr="00716CD9" w:rsidTr="00712619">
        <w:trPr>
          <w:trHeight w:val="255"/>
        </w:trPr>
        <w:tc>
          <w:tcPr>
            <w:tcW w:w="68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vAlign w:val="center"/>
          </w:tcPr>
          <w:p w:rsidR="00173777" w:rsidRPr="001F0C47" w:rsidRDefault="00570B2F" w:rsidP="00173777">
            <w:pPr>
              <w:rPr>
                <w:rFonts w:ascii="Arial" w:hAnsi="Arial" w:cs="Arial"/>
                <w:b/>
                <w:bCs/>
                <w:color w:val="FFFFFF" w:themeColor="background1"/>
                <w:sz w:val="18"/>
                <w:szCs w:val="18"/>
              </w:rPr>
            </w:pPr>
            <w:r>
              <w:rPr>
                <w:rFonts w:ascii="Arial" w:hAnsi="Arial" w:cs="Arial"/>
                <w:b/>
                <w:bCs/>
                <w:color w:val="FFFFFF" w:themeColor="background1"/>
                <w:sz w:val="18"/>
                <w:szCs w:val="18"/>
              </w:rPr>
              <w:lastRenderedPageBreak/>
              <w:t>L</w:t>
            </w:r>
            <w:r w:rsidR="00173777" w:rsidRPr="001F0C47">
              <w:rPr>
                <w:rFonts w:ascii="Arial" w:hAnsi="Arial" w:cs="Arial"/>
                <w:b/>
                <w:bCs/>
                <w:color w:val="FFFFFF" w:themeColor="background1"/>
                <w:sz w:val="18"/>
                <w:szCs w:val="18"/>
              </w:rPr>
              <w:t>ancashire Vacancies by Sector</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bCs/>
                <w:color w:val="000000"/>
                <w:sz w:val="18"/>
                <w:szCs w:val="18"/>
              </w:rPr>
            </w:pPr>
            <w:r w:rsidRPr="00716CD9">
              <w:rPr>
                <w:rFonts w:ascii="Arial" w:hAnsi="Arial" w:cs="Arial"/>
                <w:b/>
                <w:bCs/>
                <w:color w:val="000000"/>
                <w:sz w:val="18"/>
                <w:szCs w:val="18"/>
              </w:rPr>
              <w:t>2012</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bCs/>
                <w:color w:val="000000"/>
                <w:sz w:val="18"/>
                <w:szCs w:val="18"/>
              </w:rPr>
            </w:pPr>
            <w:r w:rsidRPr="00716CD9">
              <w:rPr>
                <w:rFonts w:ascii="Arial" w:hAnsi="Arial" w:cs="Arial"/>
                <w:b/>
                <w:bCs/>
                <w:color w:val="000000"/>
                <w:sz w:val="18"/>
                <w:szCs w:val="18"/>
              </w:rPr>
              <w:t>2013</w:t>
            </w:r>
          </w:p>
        </w:tc>
        <w:tc>
          <w:tcPr>
            <w:tcW w:w="14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color w:val="000000"/>
                <w:sz w:val="18"/>
                <w:szCs w:val="18"/>
              </w:rPr>
            </w:pPr>
            <w:r w:rsidRPr="00716CD9">
              <w:rPr>
                <w:rFonts w:ascii="Arial" w:hAnsi="Arial" w:cs="Arial"/>
                <w:b/>
                <w:bCs/>
                <w:color w:val="000000"/>
                <w:sz w:val="18"/>
                <w:szCs w:val="18"/>
              </w:rPr>
              <w:t>2014</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bCs/>
                <w:color w:val="000000"/>
                <w:sz w:val="18"/>
                <w:szCs w:val="18"/>
              </w:rPr>
            </w:pPr>
            <w:r w:rsidRPr="00716CD9">
              <w:rPr>
                <w:rFonts w:ascii="Arial" w:hAnsi="Arial" w:cs="Arial"/>
                <w:b/>
                <w:bCs/>
                <w:color w:val="000000"/>
                <w:sz w:val="18"/>
                <w:szCs w:val="18"/>
              </w:rPr>
              <w:t>UK</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color w:val="000000"/>
                <w:sz w:val="18"/>
                <w:szCs w:val="18"/>
              </w:rPr>
            </w:pPr>
            <w:r w:rsidRPr="00716CD9">
              <w:rPr>
                <w:rFonts w:ascii="Arial" w:hAnsi="Arial" w:cs="Arial"/>
                <w:b/>
                <w:color w:val="000000"/>
                <w:sz w:val="18"/>
                <w:szCs w:val="18"/>
              </w:rPr>
              <w:t>No.</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color w:val="000000"/>
                <w:sz w:val="18"/>
                <w:szCs w:val="18"/>
              </w:rPr>
            </w:pPr>
            <w:r w:rsidRPr="00716CD9">
              <w:rPr>
                <w:rFonts w:ascii="Arial" w:hAnsi="Arial" w:cs="Arial"/>
                <w:b/>
                <w:color w:val="000000"/>
                <w:sz w:val="18"/>
                <w:szCs w:val="18"/>
              </w:rPr>
              <w:t>No.</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color w:val="000000"/>
                <w:sz w:val="18"/>
                <w:szCs w:val="18"/>
              </w:rPr>
            </w:pPr>
            <w:r w:rsidRPr="00716CD9">
              <w:rPr>
                <w:rFonts w:ascii="Arial" w:hAnsi="Arial" w:cs="Arial"/>
                <w:b/>
                <w:color w:val="000000"/>
                <w:sz w:val="18"/>
                <w:szCs w:val="18"/>
              </w:rPr>
              <w:t>No.</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color w:val="000000"/>
                <w:sz w:val="18"/>
                <w:szCs w:val="18"/>
              </w:rPr>
            </w:pPr>
            <w:r w:rsidRPr="00716CD9">
              <w:rPr>
                <w:rFonts w:ascii="Arial" w:hAnsi="Arial" w:cs="Arial"/>
                <w:b/>
                <w:color w:val="000000"/>
                <w:sz w:val="18"/>
                <w:szCs w:val="18"/>
              </w:rPr>
              <w:t>%</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center"/>
              <w:rPr>
                <w:rFonts w:ascii="Arial" w:hAnsi="Arial" w:cs="Arial"/>
                <w:b/>
                <w:color w:val="000000"/>
                <w:sz w:val="18"/>
                <w:szCs w:val="18"/>
              </w:rPr>
            </w:pPr>
            <w:r w:rsidRPr="00716CD9">
              <w:rPr>
                <w:rFonts w:ascii="Arial" w:hAnsi="Arial" w:cs="Arial"/>
                <w:b/>
                <w:color w:val="000000"/>
                <w:sz w:val="18"/>
                <w:szCs w:val="18"/>
              </w:rPr>
              <w:t>%</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Human Health And Social Work Activities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5,610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11,570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11,110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14%</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9%</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Manufacturing</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6,340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5,740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4,860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Education</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3,270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4,230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4,640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Wholesale And Retail Trade</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2,870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3,200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2,910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Public Admin And Defence</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640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1,390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2,300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Information And Communication</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1,300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1,910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2,090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Administrative And Support Service Activities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1,730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3,340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1,880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Professional, Scientific And Technical Activities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1,360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1,300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1,020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Financial And Insurance Activities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1,750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1,080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1,010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Other Service Activities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660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1,050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920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Transportation And Storage</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760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1,400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900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rPr>
                <w:rFonts w:ascii="Arial" w:hAnsi="Arial" w:cs="Arial"/>
                <w:color w:val="000000"/>
                <w:sz w:val="18"/>
                <w:szCs w:val="18"/>
              </w:rPr>
            </w:pPr>
            <w:r>
              <w:rPr>
                <w:rFonts w:ascii="Arial" w:hAnsi="Arial" w:cs="Arial"/>
                <w:color w:val="000000"/>
                <w:sz w:val="18"/>
                <w:szCs w:val="18"/>
              </w:rPr>
              <w:t>Accommodation and</w:t>
            </w:r>
            <w:r w:rsidRPr="00716CD9">
              <w:rPr>
                <w:rFonts w:ascii="Arial" w:hAnsi="Arial" w:cs="Arial"/>
                <w:color w:val="000000"/>
                <w:sz w:val="18"/>
                <w:szCs w:val="18"/>
              </w:rPr>
              <w:t xml:space="preserve"> Food Service Activities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590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980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880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Construction</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370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700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480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Arts, Entertainment And Recreation</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250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440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440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Real Estate Activities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120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450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430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Utilities: Water Supply</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4340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380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140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Mining And Quarrying</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100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110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100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Utilities: Electricity</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Agriculture, Forestry And Fishing</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Activities Of Households As Employers</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90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20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0%</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color w:val="000000"/>
                <w:sz w:val="18"/>
                <w:szCs w:val="18"/>
              </w:rPr>
            </w:pPr>
            <w:r w:rsidRPr="00716CD9">
              <w:rPr>
                <w:rFonts w:ascii="Arial" w:hAnsi="Arial" w:cs="Arial"/>
                <w:color w:val="000000"/>
                <w:sz w:val="18"/>
                <w:szCs w:val="18"/>
              </w:rPr>
              <w:t>Unspecified</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30,520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47,160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43,200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54%</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60%</w:t>
            </w:r>
          </w:p>
        </w:tc>
      </w:tr>
      <w:tr w:rsidR="00173777" w:rsidRPr="00716CD9" w:rsidTr="00712619">
        <w:trPr>
          <w:trHeight w:val="255"/>
        </w:trPr>
        <w:tc>
          <w:tcPr>
            <w:tcW w:w="2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b/>
                <w:color w:val="000000"/>
                <w:sz w:val="18"/>
                <w:szCs w:val="18"/>
              </w:rPr>
            </w:pPr>
            <w:r w:rsidRPr="00716CD9">
              <w:rPr>
                <w:rFonts w:ascii="Arial" w:hAnsi="Arial" w:cs="Arial"/>
                <w:b/>
                <w:color w:val="000000"/>
                <w:sz w:val="18"/>
                <w:szCs w:val="18"/>
              </w:rPr>
              <w:t>Total</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b/>
                <w:color w:val="000000"/>
                <w:sz w:val="18"/>
                <w:szCs w:val="18"/>
              </w:rPr>
            </w:pPr>
            <w:r w:rsidRPr="00716CD9">
              <w:rPr>
                <w:rFonts w:ascii="Arial" w:hAnsi="Arial" w:cs="Arial"/>
                <w:b/>
                <w:color w:val="000000"/>
                <w:sz w:val="18"/>
                <w:szCs w:val="18"/>
              </w:rPr>
              <w:t>58,800</w:t>
            </w: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b/>
                <w:color w:val="000000"/>
                <w:sz w:val="18"/>
                <w:szCs w:val="18"/>
              </w:rPr>
            </w:pPr>
            <w:r w:rsidRPr="00716CD9">
              <w:rPr>
                <w:rFonts w:ascii="Arial" w:hAnsi="Arial" w:cs="Arial"/>
                <w:b/>
                <w:color w:val="000000"/>
                <w:sz w:val="18"/>
                <w:szCs w:val="18"/>
              </w:rPr>
              <w:t>86,620</w:t>
            </w:r>
          </w:p>
        </w:tc>
        <w:tc>
          <w:tcPr>
            <w:tcW w:w="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b/>
                <w:color w:val="000000"/>
                <w:sz w:val="18"/>
                <w:szCs w:val="18"/>
              </w:rPr>
            </w:pPr>
            <w:r w:rsidRPr="00716CD9">
              <w:rPr>
                <w:rFonts w:ascii="Arial" w:hAnsi="Arial" w:cs="Arial"/>
                <w:b/>
                <w:color w:val="000000"/>
                <w:sz w:val="18"/>
                <w:szCs w:val="18"/>
              </w:rPr>
              <w:t>79,400</w:t>
            </w:r>
          </w:p>
        </w:tc>
        <w:tc>
          <w:tcPr>
            <w:tcW w:w="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b/>
                <w:color w:val="000000"/>
                <w:sz w:val="18"/>
                <w:szCs w:val="18"/>
              </w:rPr>
            </w:pPr>
            <w:r w:rsidRPr="00716CD9">
              <w:rPr>
                <w:rFonts w:ascii="Arial" w:hAnsi="Arial" w:cs="Arial"/>
                <w:b/>
                <w:color w:val="000000"/>
                <w:sz w:val="18"/>
                <w:szCs w:val="18"/>
              </w:rPr>
              <w:t>100%</w:t>
            </w:r>
          </w:p>
        </w:tc>
        <w:tc>
          <w:tcPr>
            <w:tcW w:w="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jc w:val="right"/>
              <w:rPr>
                <w:rFonts w:ascii="Arial" w:hAnsi="Arial" w:cs="Arial"/>
                <w:color w:val="000000"/>
                <w:sz w:val="18"/>
                <w:szCs w:val="18"/>
              </w:rPr>
            </w:pPr>
            <w:r w:rsidRPr="00716CD9">
              <w:rPr>
                <w:rFonts w:ascii="Arial" w:hAnsi="Arial" w:cs="Arial"/>
                <w:color w:val="000000"/>
                <w:sz w:val="18"/>
                <w:szCs w:val="18"/>
              </w:rPr>
              <w:t>9%</w:t>
            </w:r>
          </w:p>
        </w:tc>
      </w:tr>
      <w:tr w:rsidR="00173777" w:rsidRPr="00716CD9" w:rsidTr="00712619">
        <w:trPr>
          <w:trHeight w:val="255"/>
        </w:trPr>
        <w:tc>
          <w:tcPr>
            <w:tcW w:w="68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716CD9" w:rsidRDefault="00173777" w:rsidP="00173777">
            <w:pPr>
              <w:rPr>
                <w:rFonts w:ascii="Arial" w:hAnsi="Arial" w:cs="Arial"/>
                <w:sz w:val="18"/>
                <w:szCs w:val="18"/>
              </w:rPr>
            </w:pPr>
            <w:r w:rsidRPr="00716CD9">
              <w:rPr>
                <w:rFonts w:ascii="Arial" w:hAnsi="Arial" w:cs="Arial"/>
                <w:sz w:val="18"/>
                <w:szCs w:val="18"/>
              </w:rPr>
              <w:t>Source: Labour Insights</w:t>
            </w:r>
          </w:p>
        </w:tc>
      </w:tr>
    </w:tbl>
    <w:p w:rsidR="00173777" w:rsidRPr="002E37BF" w:rsidRDefault="00173777" w:rsidP="00173777">
      <w:pPr>
        <w:rPr>
          <w:sz w:val="16"/>
          <w:szCs w:val="16"/>
        </w:rPr>
      </w:pPr>
    </w:p>
    <w:p w:rsidR="00173777" w:rsidRDefault="00173777" w:rsidP="0017377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On the surface it may appear that vacancies in ‘Accommodation and Food Service Activities’ and ‘Arts, Entertainment and Recreation’ are, in relative terms, not especially prevalent.  For example, the number of vacancies recorded in Human Health and Social Work Activities in 2014 equates to 11.3% of the </w:t>
      </w:r>
      <w:r>
        <w:rPr>
          <w:sz w:val="18"/>
          <w:szCs w:val="18"/>
        </w:rPr>
        <w:lastRenderedPageBreak/>
        <w:t xml:space="preserve">number of jobs in that sector in the same year.  In manufacturing the equivalent figure is almost 6% and in education it is 8%. In ‘Accommodation and Food Service Activities’ and ‘Arts, Entertainment and Recreation’ combined, the figure is 2.3%. </w:t>
      </w:r>
    </w:p>
    <w:p w:rsidR="00173777" w:rsidRDefault="00173777" w:rsidP="0017377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In reality, however, these figures are likely to distort the true position, </w:t>
      </w:r>
      <w:r w:rsidR="00A40EAD">
        <w:rPr>
          <w:sz w:val="18"/>
          <w:szCs w:val="18"/>
        </w:rPr>
        <w:t xml:space="preserve">the key reason for which are the </w:t>
      </w:r>
      <w:r>
        <w:rPr>
          <w:sz w:val="18"/>
          <w:szCs w:val="18"/>
        </w:rPr>
        <w:t>informal recruitment practices common to the visitor economy</w:t>
      </w:r>
      <w:r w:rsidR="00A40EAD">
        <w:rPr>
          <w:sz w:val="18"/>
          <w:szCs w:val="18"/>
        </w:rPr>
        <w:t xml:space="preserve"> and covered in more detail later in this chapter</w:t>
      </w:r>
      <w:r>
        <w:rPr>
          <w:sz w:val="18"/>
          <w:szCs w:val="18"/>
        </w:rPr>
        <w:t xml:space="preserve">.  It is also of note that against more than half of all the vacancies </w:t>
      </w:r>
      <w:r w:rsidR="00FF6631">
        <w:rPr>
          <w:sz w:val="18"/>
          <w:szCs w:val="18"/>
        </w:rPr>
        <w:t xml:space="preserve">captured by Labour Insights, </w:t>
      </w:r>
      <w:r>
        <w:rPr>
          <w:sz w:val="18"/>
          <w:szCs w:val="18"/>
        </w:rPr>
        <w:t xml:space="preserve">the sector is not recorded, although there is no reason to assume that a disproportionate amount of these will be in visitor economy jobs.    </w:t>
      </w:r>
    </w:p>
    <w:p w:rsidR="00173777" w:rsidRDefault="00173777" w:rsidP="00173777">
      <w:pPr>
        <w:pStyle w:val="normalnumbered"/>
        <w:numPr>
          <w:ilvl w:val="1"/>
          <w:numId w:val="1"/>
        </w:numPr>
        <w:tabs>
          <w:tab w:val="clear" w:pos="2666"/>
          <w:tab w:val="num" w:pos="709"/>
        </w:tabs>
        <w:spacing w:line="264" w:lineRule="auto"/>
        <w:ind w:left="0" w:right="40" w:firstLine="0"/>
        <w:rPr>
          <w:sz w:val="18"/>
          <w:szCs w:val="18"/>
        </w:rPr>
      </w:pPr>
      <w:r>
        <w:rPr>
          <w:sz w:val="18"/>
          <w:szCs w:val="18"/>
        </w:rPr>
        <w:t>Based on the Labour Insights data, the most commonly reported vacancies across the two visitor economy related sector areas have been for kitchen and catering assistants, chefs and customer service posts</w:t>
      </w:r>
      <w:r w:rsidR="00BA3E87">
        <w:rPr>
          <w:sz w:val="18"/>
          <w:szCs w:val="18"/>
        </w:rPr>
        <w:t xml:space="preserve">, </w:t>
      </w:r>
      <w:r>
        <w:rPr>
          <w:sz w:val="18"/>
          <w:szCs w:val="18"/>
        </w:rPr>
        <w:t xml:space="preserve">all three of which </w:t>
      </w:r>
      <w:r w:rsidR="00712619">
        <w:rPr>
          <w:sz w:val="18"/>
          <w:szCs w:val="18"/>
        </w:rPr>
        <w:t>featured in</w:t>
      </w:r>
      <w:r>
        <w:rPr>
          <w:sz w:val="18"/>
          <w:szCs w:val="18"/>
        </w:rPr>
        <w:t xml:space="preserve"> the anecdotal feedback prov</w:t>
      </w:r>
      <w:r w:rsidR="00BA3E87">
        <w:rPr>
          <w:sz w:val="18"/>
          <w:szCs w:val="18"/>
        </w:rPr>
        <w:t>ided by employers for this plan</w:t>
      </w:r>
      <w:r>
        <w:rPr>
          <w:sz w:val="18"/>
          <w:szCs w:val="18"/>
        </w:rPr>
        <w:t xml:space="preserve">.  Sales and retail assistants have also been in demand, although as with a number of the other occupations, fewer vacancies were recorded in 2014 than the year before. By contrast, vacancies for managerial staff, including those working in restaurants and catering establishments, bars and other service areas, appear to have increased.  </w:t>
      </w: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p w:rsidR="00173777" w:rsidRDefault="00173777" w:rsidP="00173777">
      <w:pPr>
        <w:pStyle w:val="normalnumbered"/>
        <w:tabs>
          <w:tab w:val="clear" w:pos="2666"/>
        </w:tabs>
        <w:spacing w:line="264" w:lineRule="auto"/>
        <w:ind w:left="0" w:right="40" w:firstLine="0"/>
        <w:rPr>
          <w:sz w:val="18"/>
          <w:szCs w:val="18"/>
        </w:rPr>
      </w:pPr>
    </w:p>
    <w:tbl>
      <w:tblPr>
        <w:tblStyle w:val="TableGrid"/>
        <w:tblW w:w="0" w:type="auto"/>
        <w:tblInd w:w="108" w:type="dxa"/>
        <w:tblLayout w:type="fixed"/>
        <w:tblLook w:val="04A0" w:firstRow="1" w:lastRow="0" w:firstColumn="1" w:lastColumn="0" w:noHBand="0" w:noVBand="1"/>
      </w:tblPr>
      <w:tblGrid>
        <w:gridCol w:w="4678"/>
        <w:gridCol w:w="992"/>
        <w:gridCol w:w="993"/>
      </w:tblGrid>
      <w:tr w:rsidR="00173777" w:rsidRPr="00E9476A" w:rsidTr="00712619">
        <w:trPr>
          <w:trHeight w:val="255"/>
        </w:trPr>
        <w:tc>
          <w:tcPr>
            <w:tcW w:w="666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vAlign w:val="center"/>
          </w:tcPr>
          <w:p w:rsidR="00173777" w:rsidRPr="001C67A1" w:rsidRDefault="00173777" w:rsidP="00173777">
            <w:pPr>
              <w:rPr>
                <w:rFonts w:ascii="Arial" w:hAnsi="Arial" w:cs="Arial"/>
                <w:b/>
                <w:bCs/>
                <w:color w:val="FFFFFF" w:themeColor="background1"/>
                <w:sz w:val="18"/>
                <w:szCs w:val="18"/>
              </w:rPr>
            </w:pPr>
            <w:r w:rsidRPr="001C67A1">
              <w:rPr>
                <w:rFonts w:ascii="Arial" w:hAnsi="Arial" w:cs="Arial"/>
                <w:b/>
                <w:bCs/>
                <w:color w:val="FFFFFF" w:themeColor="background1"/>
                <w:sz w:val="18"/>
                <w:szCs w:val="18"/>
              </w:rPr>
              <w:lastRenderedPageBreak/>
              <w:t xml:space="preserve">Lancashire Vacancies </w:t>
            </w:r>
            <w:r>
              <w:rPr>
                <w:rFonts w:ascii="Arial" w:hAnsi="Arial" w:cs="Arial"/>
                <w:b/>
                <w:bCs/>
                <w:color w:val="FFFFFF" w:themeColor="background1"/>
                <w:sz w:val="18"/>
                <w:szCs w:val="18"/>
              </w:rPr>
              <w:t>in the Visitor Economy* – Most Commonly Reported by Occupation (top 15 occupations shown)</w:t>
            </w:r>
          </w:p>
        </w:tc>
      </w:tr>
      <w:tr w:rsidR="00173777" w:rsidRPr="00E9476A"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173777" w:rsidRPr="001C67A1" w:rsidRDefault="00173777" w:rsidP="00173777">
            <w:pPr>
              <w:jc w:val="center"/>
              <w:rPr>
                <w:rFonts w:ascii="Arial" w:hAnsi="Arial" w:cs="Arial"/>
                <w:b/>
                <w:bCs/>
                <w:color w:val="000000"/>
                <w:sz w:val="18"/>
                <w:szCs w:val="18"/>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b/>
                <w:bCs/>
                <w:color w:val="000000"/>
                <w:sz w:val="18"/>
                <w:szCs w:val="18"/>
              </w:rPr>
            </w:pPr>
            <w:r w:rsidRPr="001C67A1">
              <w:rPr>
                <w:rFonts w:ascii="Arial" w:hAnsi="Arial" w:cs="Arial"/>
                <w:b/>
                <w:bCs/>
                <w:color w:val="000000"/>
                <w:sz w:val="18"/>
                <w:szCs w:val="18"/>
              </w:rPr>
              <w:t>2013</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b/>
                <w:bCs/>
                <w:color w:val="000000"/>
                <w:sz w:val="18"/>
                <w:szCs w:val="18"/>
              </w:rPr>
            </w:pPr>
            <w:r w:rsidRPr="001C67A1">
              <w:rPr>
                <w:rFonts w:ascii="Arial" w:hAnsi="Arial" w:cs="Arial"/>
                <w:b/>
                <w:bCs/>
                <w:color w:val="000000"/>
                <w:sz w:val="18"/>
                <w:szCs w:val="18"/>
              </w:rPr>
              <w:t>2014</w:t>
            </w:r>
          </w:p>
        </w:tc>
      </w:tr>
      <w:tr w:rsidR="00173777" w:rsidRPr="00E9476A"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Kitchen and catering assistants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147</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101</w:t>
            </w:r>
          </w:p>
        </w:tc>
      </w:tr>
      <w:tr w:rsidR="00173777" w:rsidRPr="00E9476A"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Chefs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137</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143</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 xml:space="preserve">Customer service occupations </w:t>
            </w:r>
            <w:r>
              <w:rPr>
                <w:rFonts w:ascii="Arial" w:hAnsi="Arial" w:cs="Arial"/>
                <w:sz w:val="18"/>
                <w:szCs w:val="18"/>
              </w:rPr>
              <w:t>(NEC)**</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162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89</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Sales and retail assistants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102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95</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Managers and directors in retail + wholesale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67</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47</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Restaurant and catering establishment managers and proprietors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51</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72</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Waiters and waitresses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76</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79</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Bar staff</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32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35</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Managers an</w:t>
            </w:r>
            <w:r>
              <w:rPr>
                <w:rFonts w:ascii="Arial" w:hAnsi="Arial" w:cs="Arial"/>
                <w:sz w:val="18"/>
                <w:szCs w:val="18"/>
              </w:rPr>
              <w:t>d proprietors in other services (NEC)**</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35</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44</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Ot</w:t>
            </w:r>
            <w:r>
              <w:rPr>
                <w:rFonts w:ascii="Arial" w:hAnsi="Arial" w:cs="Arial"/>
                <w:sz w:val="18"/>
                <w:szCs w:val="18"/>
              </w:rPr>
              <w:t>her administrative occupations (NEC)**</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28</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45</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Actors, entertainers and presenters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22</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50</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Catering and bar managers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20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28</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 xml:space="preserve">Other elementary service occupations </w:t>
            </w:r>
            <w:r>
              <w:rPr>
                <w:rFonts w:ascii="Arial" w:hAnsi="Arial" w:cs="Arial"/>
                <w:sz w:val="18"/>
                <w:szCs w:val="18"/>
              </w:rPr>
              <w:t>(NEC)**</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27</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29</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sidRPr="001C67A1">
              <w:rPr>
                <w:rFonts w:ascii="Arial" w:hAnsi="Arial" w:cs="Arial"/>
                <w:sz w:val="18"/>
                <w:szCs w:val="18"/>
              </w:rPr>
              <w:t>Receptionists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29</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sidRPr="001C67A1">
              <w:rPr>
                <w:rFonts w:ascii="Arial" w:hAnsi="Arial" w:cs="Arial"/>
                <w:sz w:val="18"/>
                <w:szCs w:val="18"/>
              </w:rPr>
              <w:t>6</w:t>
            </w:r>
          </w:p>
        </w:tc>
      </w:tr>
      <w:tr w:rsidR="00173777" w:rsidRPr="00D91688" w:rsidTr="00712619">
        <w:trPr>
          <w:trHeight w:val="255"/>
        </w:trPr>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rPr>
                <w:rFonts w:ascii="Arial" w:hAnsi="Arial" w:cs="Arial"/>
                <w:sz w:val="18"/>
                <w:szCs w:val="18"/>
              </w:rPr>
            </w:pPr>
            <w:r>
              <w:rPr>
                <w:rFonts w:ascii="Arial" w:hAnsi="Arial" w:cs="Arial"/>
                <w:sz w:val="18"/>
                <w:szCs w:val="18"/>
              </w:rPr>
              <w:t xml:space="preserve">Cleaners and domestics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Pr>
                <w:rFonts w:ascii="Arial" w:hAnsi="Arial" w:cs="Arial"/>
                <w:sz w:val="18"/>
                <w:szCs w:val="18"/>
              </w:rPr>
              <w:t>24</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Pr="001C67A1" w:rsidRDefault="00173777" w:rsidP="00173777">
            <w:pPr>
              <w:jc w:val="right"/>
              <w:rPr>
                <w:rFonts w:ascii="Arial" w:hAnsi="Arial" w:cs="Arial"/>
                <w:sz w:val="18"/>
                <w:szCs w:val="18"/>
              </w:rPr>
            </w:pPr>
            <w:r>
              <w:rPr>
                <w:rFonts w:ascii="Arial" w:hAnsi="Arial" w:cs="Arial"/>
                <w:sz w:val="18"/>
                <w:szCs w:val="18"/>
              </w:rPr>
              <w:t>19</w:t>
            </w:r>
          </w:p>
        </w:tc>
      </w:tr>
      <w:tr w:rsidR="00173777" w:rsidTr="00712619">
        <w:trPr>
          <w:trHeight w:val="255"/>
        </w:trPr>
        <w:tc>
          <w:tcPr>
            <w:tcW w:w="666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3777" w:rsidRDefault="00173777" w:rsidP="00173777">
            <w:pPr>
              <w:rPr>
                <w:rFonts w:ascii="Arial" w:hAnsi="Arial" w:cs="Arial"/>
                <w:sz w:val="18"/>
                <w:szCs w:val="18"/>
              </w:rPr>
            </w:pPr>
            <w:r w:rsidRPr="001C67A1">
              <w:rPr>
                <w:rFonts w:ascii="Arial" w:hAnsi="Arial" w:cs="Arial"/>
                <w:sz w:val="18"/>
                <w:szCs w:val="18"/>
              </w:rPr>
              <w:t>Source: Labour Insights</w:t>
            </w:r>
          </w:p>
          <w:p w:rsidR="00173777" w:rsidRDefault="00173777" w:rsidP="00173777">
            <w:pPr>
              <w:rPr>
                <w:rFonts w:ascii="Arial" w:hAnsi="Arial" w:cs="Arial"/>
                <w:sz w:val="18"/>
                <w:szCs w:val="18"/>
              </w:rPr>
            </w:pPr>
            <w:r>
              <w:rPr>
                <w:rFonts w:ascii="Arial" w:hAnsi="Arial" w:cs="Arial"/>
                <w:sz w:val="18"/>
                <w:szCs w:val="18"/>
              </w:rPr>
              <w:t xml:space="preserve">*Defined here as ‘Accommodation and Food Service Activities’ and ‘Arts, Entertainment and Recreation’.  </w:t>
            </w:r>
          </w:p>
          <w:p w:rsidR="00173777" w:rsidRPr="001C67A1" w:rsidRDefault="00173777" w:rsidP="00173777">
            <w:pPr>
              <w:rPr>
                <w:rFonts w:ascii="Arial" w:hAnsi="Arial" w:cs="Arial"/>
                <w:sz w:val="18"/>
                <w:szCs w:val="18"/>
              </w:rPr>
            </w:pPr>
            <w:r>
              <w:rPr>
                <w:rFonts w:ascii="Arial" w:hAnsi="Arial" w:cs="Arial"/>
                <w:sz w:val="18"/>
                <w:szCs w:val="18"/>
              </w:rPr>
              <w:t>**Not elsewhere classified.</w:t>
            </w:r>
          </w:p>
        </w:tc>
      </w:tr>
    </w:tbl>
    <w:p w:rsidR="00173777" w:rsidRPr="0074166F" w:rsidRDefault="00173777" w:rsidP="00173777">
      <w:pPr>
        <w:pStyle w:val="normalnumbered"/>
        <w:tabs>
          <w:tab w:val="clear" w:pos="2666"/>
        </w:tabs>
        <w:spacing w:line="264" w:lineRule="auto"/>
        <w:ind w:left="0" w:right="40" w:firstLine="0"/>
        <w:rPr>
          <w:sz w:val="2"/>
          <w:szCs w:val="2"/>
        </w:rPr>
      </w:pPr>
    </w:p>
    <w:p w:rsidR="00173777" w:rsidRPr="00A54F78" w:rsidRDefault="00173777" w:rsidP="0017377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Although the data on vacancies by local authority is not complete, it suggests over half of all the visitor economy vacancies in 2014 were in Preston and Blackpool.  None of the other local authorities accounted for more than 10% of the total number of vacancies.  </w:t>
      </w:r>
    </w:p>
    <w:p w:rsidR="00173777" w:rsidRPr="00BA3E87" w:rsidRDefault="002E37BF" w:rsidP="00173777">
      <w:pPr>
        <w:tabs>
          <w:tab w:val="num" w:pos="860"/>
          <w:tab w:val="num" w:pos="1105"/>
        </w:tabs>
        <w:spacing w:before="120" w:after="120" w:line="288" w:lineRule="auto"/>
        <w:jc w:val="both"/>
        <w:rPr>
          <w:rFonts w:ascii="Arial Bold" w:hAnsi="Arial Bold" w:cs="Arial"/>
          <w:b/>
          <w:color w:val="6C2768"/>
          <w:sz w:val="22"/>
          <w:szCs w:val="22"/>
          <w:lang w:eastAsia="en-GB"/>
        </w:rPr>
      </w:pPr>
      <w:r w:rsidRPr="00BA3E87">
        <w:rPr>
          <w:rFonts w:ascii="Arial Bold" w:hAnsi="Arial Bold" w:cs="Arial"/>
          <w:b/>
          <w:color w:val="6C2768"/>
          <w:sz w:val="22"/>
          <w:szCs w:val="22"/>
          <w:lang w:eastAsia="en-GB"/>
        </w:rPr>
        <w:t>Vacancies: Feedback from Lancashire E</w:t>
      </w:r>
      <w:r w:rsidR="00173777" w:rsidRPr="00BA3E87">
        <w:rPr>
          <w:rFonts w:ascii="Arial Bold" w:hAnsi="Arial Bold" w:cs="Arial"/>
          <w:b/>
          <w:color w:val="6C2768"/>
          <w:sz w:val="22"/>
          <w:szCs w:val="22"/>
          <w:lang w:eastAsia="en-GB"/>
        </w:rPr>
        <w:t xml:space="preserve">mployers </w:t>
      </w:r>
    </w:p>
    <w:p w:rsidR="00173777" w:rsidRDefault="00173777" w:rsidP="00173777">
      <w:pPr>
        <w:pStyle w:val="normalnumbered"/>
        <w:numPr>
          <w:ilvl w:val="1"/>
          <w:numId w:val="1"/>
        </w:numPr>
        <w:tabs>
          <w:tab w:val="clear" w:pos="2666"/>
          <w:tab w:val="num" w:pos="709"/>
        </w:tabs>
        <w:spacing w:line="264" w:lineRule="auto"/>
        <w:ind w:left="0" w:right="40" w:firstLine="0"/>
        <w:rPr>
          <w:sz w:val="18"/>
          <w:szCs w:val="18"/>
        </w:rPr>
      </w:pPr>
      <w:r>
        <w:rPr>
          <w:sz w:val="18"/>
          <w:szCs w:val="18"/>
        </w:rPr>
        <w:t>The online survey of employers undertaken for this study also explored recruitment difficulties in the Lancashire visitor economy and found that:</w:t>
      </w:r>
    </w:p>
    <w:p w:rsidR="00173777" w:rsidRPr="008059AB" w:rsidRDefault="00173777" w:rsidP="0017377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059AB">
        <w:rPr>
          <w:rFonts w:ascii="Arial" w:hAnsi="Arial" w:cs="Arial"/>
          <w:sz w:val="18"/>
          <w:szCs w:val="18"/>
        </w:rPr>
        <w:t xml:space="preserve">A third of the businesses had faced difficulties filling vacancies in the previous two years.  </w:t>
      </w:r>
    </w:p>
    <w:p w:rsidR="00173777" w:rsidRPr="008059AB" w:rsidRDefault="00173777" w:rsidP="00173777">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059AB">
        <w:rPr>
          <w:rFonts w:ascii="Arial" w:hAnsi="Arial" w:cs="Arial"/>
          <w:sz w:val="18"/>
          <w:szCs w:val="18"/>
        </w:rPr>
        <w:lastRenderedPageBreak/>
        <w:t>The</w:t>
      </w:r>
      <w:r w:rsidR="00BA3E87">
        <w:rPr>
          <w:rFonts w:ascii="Arial" w:hAnsi="Arial" w:cs="Arial"/>
          <w:sz w:val="18"/>
          <w:szCs w:val="18"/>
        </w:rPr>
        <w:t xml:space="preserve"> hardest posts to fill included </w:t>
      </w:r>
      <w:r w:rsidRPr="008059AB">
        <w:rPr>
          <w:rFonts w:ascii="Arial" w:hAnsi="Arial" w:cs="Arial"/>
          <w:sz w:val="18"/>
          <w:szCs w:val="18"/>
        </w:rPr>
        <w:t xml:space="preserve">chefs, housekeepers, lifeguards, receptionists and software engineers (reflecting the diversity of the businesses that responded to the survey and to some extent echoing the Labour Insights data). </w:t>
      </w:r>
    </w:p>
    <w:p w:rsidR="007C6E53" w:rsidRPr="00FE28FE" w:rsidRDefault="00173777" w:rsidP="00BA3E87">
      <w:pPr>
        <w:pStyle w:val="normalnumbered"/>
        <w:numPr>
          <w:ilvl w:val="1"/>
          <w:numId w:val="1"/>
        </w:numPr>
        <w:tabs>
          <w:tab w:val="clear" w:pos="2666"/>
          <w:tab w:val="num" w:pos="709"/>
        </w:tabs>
        <w:spacing w:line="264" w:lineRule="auto"/>
        <w:ind w:left="0" w:right="40" w:firstLine="0"/>
        <w:rPr>
          <w:sz w:val="18"/>
          <w:szCs w:val="18"/>
        </w:rPr>
      </w:pPr>
      <w:r w:rsidRPr="00FE28FE">
        <w:rPr>
          <w:rFonts w:cs="Arial"/>
          <w:sz w:val="18"/>
          <w:szCs w:val="18"/>
        </w:rPr>
        <w:t>Most of the employers d</w:t>
      </w:r>
      <w:r w:rsidR="00712619" w:rsidRPr="00FE28FE">
        <w:rPr>
          <w:rFonts w:cs="Arial"/>
          <w:sz w:val="18"/>
          <w:szCs w:val="18"/>
        </w:rPr>
        <w:t>id</w:t>
      </w:r>
      <w:r w:rsidRPr="00FE28FE">
        <w:rPr>
          <w:rFonts w:cs="Arial"/>
          <w:sz w:val="18"/>
          <w:szCs w:val="18"/>
        </w:rPr>
        <w:t xml:space="preserve"> not foresee these recruitment difficulties becoming any worse over the next two years, but it was similarly rare for them to report that they expect them to get any better.   </w:t>
      </w:r>
    </w:p>
    <w:p w:rsidR="002A2831" w:rsidRPr="00FE28FE" w:rsidRDefault="006C256B" w:rsidP="002A2831">
      <w:pPr>
        <w:spacing w:before="120" w:after="120" w:line="264" w:lineRule="auto"/>
        <w:jc w:val="both"/>
        <w:rPr>
          <w:rFonts w:ascii="Arial Bold" w:hAnsi="Arial Bold" w:cs="Arial"/>
          <w:b/>
          <w:color w:val="6C2768"/>
          <w:sz w:val="22"/>
          <w:szCs w:val="22"/>
          <w:lang w:eastAsia="en-GB"/>
        </w:rPr>
      </w:pPr>
      <w:r w:rsidRPr="00BA3E87">
        <w:rPr>
          <w:rFonts w:ascii="Arial Bold" w:hAnsi="Arial Bold" w:cs="Arial"/>
          <w:b/>
          <w:color w:val="6C2768"/>
          <w:sz w:val="22"/>
          <w:szCs w:val="22"/>
          <w:lang w:eastAsia="en-GB"/>
        </w:rPr>
        <w:t xml:space="preserve">Staff </w:t>
      </w:r>
      <w:r w:rsidRPr="00FE28FE">
        <w:rPr>
          <w:rFonts w:ascii="Arial Bold" w:hAnsi="Arial Bold" w:cs="Arial"/>
          <w:b/>
          <w:color w:val="6C2768"/>
          <w:sz w:val="22"/>
          <w:szCs w:val="22"/>
          <w:lang w:eastAsia="en-GB"/>
        </w:rPr>
        <w:t>Turnover</w:t>
      </w:r>
      <w:r w:rsidR="00AC5531" w:rsidRPr="00FE28FE">
        <w:rPr>
          <w:rFonts w:ascii="Arial Bold" w:hAnsi="Arial Bold" w:cs="Arial"/>
          <w:b/>
          <w:color w:val="6C2768"/>
          <w:sz w:val="22"/>
          <w:szCs w:val="22"/>
          <w:lang w:eastAsia="en-GB"/>
        </w:rPr>
        <w:t xml:space="preserve"> </w:t>
      </w:r>
    </w:p>
    <w:p w:rsidR="007C6E53" w:rsidRPr="00FE28FE" w:rsidRDefault="00692741" w:rsidP="007C6E53">
      <w:pPr>
        <w:pStyle w:val="normalnumbered"/>
        <w:numPr>
          <w:ilvl w:val="1"/>
          <w:numId w:val="1"/>
        </w:numPr>
        <w:tabs>
          <w:tab w:val="clear" w:pos="2666"/>
          <w:tab w:val="num" w:pos="709"/>
        </w:tabs>
        <w:spacing w:line="264" w:lineRule="auto"/>
        <w:ind w:left="0" w:right="40" w:firstLine="0"/>
        <w:rPr>
          <w:sz w:val="18"/>
          <w:szCs w:val="18"/>
        </w:rPr>
      </w:pPr>
      <w:r w:rsidRPr="00FE28FE">
        <w:rPr>
          <w:sz w:val="18"/>
          <w:szCs w:val="18"/>
        </w:rPr>
        <w:t>Staff t</w:t>
      </w:r>
      <w:r w:rsidR="002A2831" w:rsidRPr="00FE28FE">
        <w:rPr>
          <w:sz w:val="18"/>
          <w:szCs w:val="18"/>
        </w:rPr>
        <w:t xml:space="preserve">urnover </w:t>
      </w:r>
      <w:r w:rsidR="00FB289C" w:rsidRPr="00FE28FE">
        <w:rPr>
          <w:sz w:val="18"/>
          <w:szCs w:val="18"/>
        </w:rPr>
        <w:t>i</w:t>
      </w:r>
      <w:r w:rsidR="002A2831" w:rsidRPr="00FE28FE">
        <w:rPr>
          <w:sz w:val="18"/>
          <w:szCs w:val="18"/>
        </w:rPr>
        <w:t xml:space="preserve">n </w:t>
      </w:r>
      <w:r w:rsidR="00570B2F" w:rsidRPr="00FE28FE">
        <w:rPr>
          <w:sz w:val="18"/>
          <w:szCs w:val="18"/>
        </w:rPr>
        <w:t>hospitality</w:t>
      </w:r>
      <w:r w:rsidR="008C3067" w:rsidRPr="00FE28FE">
        <w:rPr>
          <w:sz w:val="18"/>
          <w:szCs w:val="18"/>
        </w:rPr>
        <w:t xml:space="preserve"> </w:t>
      </w:r>
      <w:r w:rsidR="002A2831" w:rsidRPr="00FE28FE">
        <w:rPr>
          <w:sz w:val="18"/>
          <w:szCs w:val="18"/>
        </w:rPr>
        <w:t>ha</w:t>
      </w:r>
      <w:r w:rsidR="00FB289C" w:rsidRPr="00FE28FE">
        <w:rPr>
          <w:sz w:val="18"/>
          <w:szCs w:val="18"/>
        </w:rPr>
        <w:t>s</w:t>
      </w:r>
      <w:r w:rsidR="002A2831" w:rsidRPr="00FE28FE">
        <w:rPr>
          <w:sz w:val="18"/>
          <w:szCs w:val="18"/>
        </w:rPr>
        <w:t xml:space="preserve"> declined</w:t>
      </w:r>
      <w:r w:rsidR="007C6E53" w:rsidRPr="00FE28FE">
        <w:rPr>
          <w:sz w:val="18"/>
          <w:szCs w:val="18"/>
        </w:rPr>
        <w:t xml:space="preserve"> in recent years</w:t>
      </w:r>
      <w:r w:rsidR="002A2831" w:rsidRPr="00FE28FE">
        <w:rPr>
          <w:sz w:val="18"/>
          <w:szCs w:val="18"/>
        </w:rPr>
        <w:t xml:space="preserve">, </w:t>
      </w:r>
      <w:r w:rsidR="007C6E53" w:rsidRPr="00FE28FE">
        <w:rPr>
          <w:sz w:val="18"/>
          <w:szCs w:val="18"/>
        </w:rPr>
        <w:t>but</w:t>
      </w:r>
      <w:r w:rsidRPr="00FE28FE">
        <w:rPr>
          <w:sz w:val="18"/>
          <w:szCs w:val="18"/>
        </w:rPr>
        <w:t>,</w:t>
      </w:r>
      <w:r w:rsidR="007C6E53" w:rsidRPr="00FE28FE">
        <w:rPr>
          <w:sz w:val="18"/>
          <w:szCs w:val="18"/>
        </w:rPr>
        <w:t xml:space="preserve"> at more than </w:t>
      </w:r>
      <w:r w:rsidR="002A2831" w:rsidRPr="00FE28FE">
        <w:rPr>
          <w:sz w:val="18"/>
          <w:szCs w:val="18"/>
        </w:rPr>
        <w:t>18</w:t>
      </w:r>
      <w:r w:rsidR="007C6E53" w:rsidRPr="00FE28FE">
        <w:rPr>
          <w:sz w:val="18"/>
          <w:szCs w:val="18"/>
        </w:rPr>
        <w:t>% in 2012</w:t>
      </w:r>
      <w:r w:rsidR="002A2831" w:rsidRPr="00FE28FE">
        <w:rPr>
          <w:rStyle w:val="FootnoteReference"/>
          <w:sz w:val="18"/>
          <w:szCs w:val="18"/>
        </w:rPr>
        <w:footnoteReference w:id="35"/>
      </w:r>
      <w:r w:rsidRPr="00FE28FE">
        <w:rPr>
          <w:sz w:val="18"/>
          <w:szCs w:val="18"/>
        </w:rPr>
        <w:t>,</w:t>
      </w:r>
      <w:r w:rsidR="007C6E53" w:rsidRPr="00FE28FE">
        <w:rPr>
          <w:sz w:val="18"/>
          <w:szCs w:val="18"/>
        </w:rPr>
        <w:t xml:space="preserve"> </w:t>
      </w:r>
      <w:r w:rsidR="00FB289C" w:rsidRPr="00FE28FE">
        <w:rPr>
          <w:sz w:val="18"/>
          <w:szCs w:val="18"/>
        </w:rPr>
        <w:t xml:space="preserve">it remains </w:t>
      </w:r>
      <w:r w:rsidR="007C6E53" w:rsidRPr="00FE28FE">
        <w:rPr>
          <w:sz w:val="18"/>
          <w:szCs w:val="18"/>
        </w:rPr>
        <w:t xml:space="preserve">amongst the highest </w:t>
      </w:r>
      <w:r w:rsidR="008C3067" w:rsidRPr="00FE28FE">
        <w:rPr>
          <w:sz w:val="18"/>
          <w:szCs w:val="18"/>
        </w:rPr>
        <w:t xml:space="preserve">of any sector </w:t>
      </w:r>
      <w:r w:rsidR="007C6E53" w:rsidRPr="00FE28FE">
        <w:rPr>
          <w:sz w:val="18"/>
          <w:szCs w:val="18"/>
        </w:rPr>
        <w:t xml:space="preserve">in the country.  </w:t>
      </w:r>
      <w:r w:rsidR="002A2831" w:rsidRPr="00FE28FE">
        <w:rPr>
          <w:sz w:val="18"/>
          <w:szCs w:val="18"/>
        </w:rPr>
        <w:t xml:space="preserve">It is estimated that </w:t>
      </w:r>
      <w:r w:rsidR="008C3067" w:rsidRPr="00FE28FE">
        <w:rPr>
          <w:sz w:val="18"/>
          <w:szCs w:val="18"/>
        </w:rPr>
        <w:t xml:space="preserve">staff </w:t>
      </w:r>
      <w:r w:rsidR="002A2831" w:rsidRPr="00FE28FE">
        <w:rPr>
          <w:sz w:val="18"/>
          <w:szCs w:val="18"/>
        </w:rPr>
        <w:t xml:space="preserve">turnover costs </w:t>
      </w:r>
      <w:r w:rsidR="00FB289C" w:rsidRPr="00FE28FE">
        <w:rPr>
          <w:sz w:val="18"/>
          <w:szCs w:val="18"/>
        </w:rPr>
        <w:t>the</w:t>
      </w:r>
      <w:r w:rsidR="002A2831" w:rsidRPr="00FE28FE">
        <w:rPr>
          <w:sz w:val="18"/>
          <w:szCs w:val="18"/>
        </w:rPr>
        <w:t xml:space="preserve"> sector £274m a year</w:t>
      </w:r>
      <w:r w:rsidR="002A2831" w:rsidRPr="00FE28FE">
        <w:rPr>
          <w:rStyle w:val="FootnoteReference"/>
          <w:sz w:val="18"/>
          <w:szCs w:val="18"/>
        </w:rPr>
        <w:footnoteReference w:id="36"/>
      </w:r>
      <w:r w:rsidR="007C6E53" w:rsidRPr="00FE28FE">
        <w:rPr>
          <w:sz w:val="18"/>
          <w:szCs w:val="18"/>
        </w:rPr>
        <w:t xml:space="preserve"> which, </w:t>
      </w:r>
      <w:r w:rsidRPr="00FE28FE">
        <w:rPr>
          <w:sz w:val="18"/>
          <w:szCs w:val="18"/>
        </w:rPr>
        <w:t xml:space="preserve">based on </w:t>
      </w:r>
      <w:r w:rsidR="00FB289C" w:rsidRPr="00FE28FE">
        <w:rPr>
          <w:sz w:val="18"/>
          <w:szCs w:val="18"/>
        </w:rPr>
        <w:t xml:space="preserve">Lancashire’s share </w:t>
      </w:r>
      <w:r w:rsidRPr="00FE28FE">
        <w:rPr>
          <w:sz w:val="18"/>
          <w:szCs w:val="18"/>
        </w:rPr>
        <w:t xml:space="preserve">of </w:t>
      </w:r>
      <w:r w:rsidR="00570B2F" w:rsidRPr="00FE28FE">
        <w:rPr>
          <w:sz w:val="18"/>
          <w:szCs w:val="18"/>
        </w:rPr>
        <w:t>hospitality</w:t>
      </w:r>
      <w:r w:rsidRPr="00FE28FE">
        <w:rPr>
          <w:sz w:val="18"/>
          <w:szCs w:val="18"/>
        </w:rPr>
        <w:t xml:space="preserve"> employment</w:t>
      </w:r>
      <w:r w:rsidR="00570B2F" w:rsidRPr="00FE28FE">
        <w:rPr>
          <w:rStyle w:val="FootnoteReference"/>
          <w:sz w:val="18"/>
          <w:szCs w:val="18"/>
        </w:rPr>
        <w:footnoteReference w:id="37"/>
      </w:r>
      <w:r w:rsidR="00FB289C" w:rsidRPr="00FE28FE">
        <w:rPr>
          <w:sz w:val="18"/>
          <w:szCs w:val="18"/>
        </w:rPr>
        <w:t xml:space="preserve">, </w:t>
      </w:r>
      <w:r w:rsidR="007C6E53" w:rsidRPr="00FE28FE">
        <w:rPr>
          <w:sz w:val="18"/>
          <w:szCs w:val="18"/>
        </w:rPr>
        <w:t xml:space="preserve">would mean that </w:t>
      </w:r>
      <w:r w:rsidRPr="00FE28FE">
        <w:rPr>
          <w:sz w:val="18"/>
          <w:szCs w:val="18"/>
        </w:rPr>
        <w:t xml:space="preserve">the county’s </w:t>
      </w:r>
      <w:r w:rsidR="00FE28FE" w:rsidRPr="00FE28FE">
        <w:rPr>
          <w:sz w:val="18"/>
          <w:szCs w:val="18"/>
        </w:rPr>
        <w:t xml:space="preserve">hospitality </w:t>
      </w:r>
      <w:r w:rsidR="007C6E53" w:rsidRPr="00FE28FE">
        <w:rPr>
          <w:sz w:val="18"/>
          <w:szCs w:val="18"/>
        </w:rPr>
        <w:t>employers incur attrition related costs of approximately £</w:t>
      </w:r>
      <w:r w:rsidR="00FE28FE" w:rsidRPr="00FE28FE">
        <w:rPr>
          <w:sz w:val="18"/>
          <w:szCs w:val="18"/>
        </w:rPr>
        <w:t>6.6</w:t>
      </w:r>
      <w:r w:rsidRPr="00FE28FE">
        <w:rPr>
          <w:sz w:val="18"/>
          <w:szCs w:val="18"/>
        </w:rPr>
        <w:t xml:space="preserve">m </w:t>
      </w:r>
      <w:r w:rsidR="008C3067" w:rsidRPr="00FE28FE">
        <w:rPr>
          <w:sz w:val="18"/>
          <w:szCs w:val="18"/>
        </w:rPr>
        <w:t>per annum</w:t>
      </w:r>
      <w:r w:rsidR="00FB289C" w:rsidRPr="00FE28FE">
        <w:rPr>
          <w:sz w:val="18"/>
          <w:szCs w:val="18"/>
        </w:rPr>
        <w:t xml:space="preserve"> (or £</w:t>
      </w:r>
      <w:r w:rsidR="00FE28FE" w:rsidRPr="00FE28FE">
        <w:rPr>
          <w:sz w:val="18"/>
          <w:szCs w:val="18"/>
        </w:rPr>
        <w:t xml:space="preserve">2,200 </w:t>
      </w:r>
      <w:r w:rsidR="00FB289C" w:rsidRPr="00FE28FE">
        <w:rPr>
          <w:sz w:val="18"/>
          <w:szCs w:val="18"/>
        </w:rPr>
        <w:t>per business, on average)</w:t>
      </w:r>
      <w:r w:rsidR="007C6E53" w:rsidRPr="00FE28FE">
        <w:rPr>
          <w:sz w:val="18"/>
          <w:szCs w:val="18"/>
        </w:rPr>
        <w:t xml:space="preserve">.  </w:t>
      </w:r>
    </w:p>
    <w:p w:rsidR="00692741" w:rsidRDefault="00FB289C" w:rsidP="007C6E53">
      <w:pPr>
        <w:pStyle w:val="normalnumbered"/>
        <w:numPr>
          <w:ilvl w:val="1"/>
          <w:numId w:val="1"/>
        </w:numPr>
        <w:tabs>
          <w:tab w:val="clear" w:pos="2666"/>
          <w:tab w:val="num" w:pos="709"/>
        </w:tabs>
        <w:spacing w:line="264" w:lineRule="auto"/>
        <w:ind w:left="0" w:right="40" w:firstLine="0"/>
        <w:rPr>
          <w:sz w:val="18"/>
          <w:szCs w:val="18"/>
        </w:rPr>
      </w:pPr>
      <w:r w:rsidRPr="00FE28FE">
        <w:rPr>
          <w:sz w:val="18"/>
          <w:szCs w:val="18"/>
        </w:rPr>
        <w:t xml:space="preserve">To some extent this is </w:t>
      </w:r>
      <w:r w:rsidR="007C6E53" w:rsidRPr="00FE28FE">
        <w:rPr>
          <w:sz w:val="18"/>
          <w:szCs w:val="18"/>
        </w:rPr>
        <w:t xml:space="preserve">unavoidable.  A surge in demand for staff over the summer months and an equivalent drop-off </w:t>
      </w:r>
      <w:r w:rsidR="00692741" w:rsidRPr="00FE28FE">
        <w:rPr>
          <w:sz w:val="18"/>
          <w:szCs w:val="18"/>
        </w:rPr>
        <w:t xml:space="preserve">later in the year </w:t>
      </w:r>
      <w:r w:rsidR="007C6E53" w:rsidRPr="00FE28FE">
        <w:rPr>
          <w:sz w:val="18"/>
          <w:szCs w:val="18"/>
        </w:rPr>
        <w:t>dictate</w:t>
      </w:r>
      <w:r w:rsidR="00692741" w:rsidRPr="00FE28FE">
        <w:rPr>
          <w:sz w:val="18"/>
          <w:szCs w:val="18"/>
        </w:rPr>
        <w:t>s</w:t>
      </w:r>
      <w:r w:rsidR="007C6E53" w:rsidRPr="00FE28FE">
        <w:rPr>
          <w:sz w:val="18"/>
          <w:szCs w:val="18"/>
        </w:rPr>
        <w:t xml:space="preserve"> that </w:t>
      </w:r>
      <w:r w:rsidR="00692741" w:rsidRPr="00FE28FE">
        <w:rPr>
          <w:sz w:val="18"/>
          <w:szCs w:val="18"/>
        </w:rPr>
        <w:t xml:space="preserve">attrition and transiency is, and will remain, </w:t>
      </w:r>
      <w:r w:rsidR="007C6E53" w:rsidRPr="00FE28FE">
        <w:rPr>
          <w:sz w:val="18"/>
          <w:szCs w:val="18"/>
        </w:rPr>
        <w:t xml:space="preserve">above national averages.  But it </w:t>
      </w:r>
      <w:r w:rsidR="00692741" w:rsidRPr="00FE28FE">
        <w:rPr>
          <w:sz w:val="18"/>
          <w:szCs w:val="18"/>
        </w:rPr>
        <w:t xml:space="preserve">almost certainly </w:t>
      </w:r>
      <w:r w:rsidR="007C6E53" w:rsidRPr="00FE28FE">
        <w:rPr>
          <w:sz w:val="18"/>
          <w:szCs w:val="18"/>
        </w:rPr>
        <w:t xml:space="preserve">needn’t be as high as it is and the cost to employers needn’t be so great.  Through the </w:t>
      </w:r>
      <w:r w:rsidRPr="00FE28FE">
        <w:rPr>
          <w:sz w:val="18"/>
          <w:szCs w:val="18"/>
        </w:rPr>
        <w:t xml:space="preserve">provision of </w:t>
      </w:r>
      <w:r w:rsidR="007C6E53" w:rsidRPr="00FE28FE">
        <w:rPr>
          <w:sz w:val="18"/>
          <w:szCs w:val="18"/>
        </w:rPr>
        <w:t>more accurate and comprehensive information</w:t>
      </w:r>
      <w:r w:rsidR="00692741" w:rsidRPr="00FE28FE">
        <w:rPr>
          <w:sz w:val="18"/>
          <w:szCs w:val="18"/>
        </w:rPr>
        <w:t>, advice</w:t>
      </w:r>
      <w:r w:rsidR="00692741">
        <w:rPr>
          <w:sz w:val="18"/>
          <w:szCs w:val="18"/>
        </w:rPr>
        <w:t xml:space="preserve"> and guidance about the sector to young people, a redressing of the downward trend in apprenticeships and a concerted effort to better sell the jobs and career paths available, it should be possible to reduce the number of people in the sector </w:t>
      </w:r>
      <w:r w:rsidR="00570B2F">
        <w:rPr>
          <w:sz w:val="18"/>
          <w:szCs w:val="18"/>
        </w:rPr>
        <w:t xml:space="preserve">(both hospitality and the wider visitor economy) </w:t>
      </w:r>
      <w:r w:rsidR="00692741">
        <w:rPr>
          <w:sz w:val="18"/>
          <w:szCs w:val="18"/>
        </w:rPr>
        <w:t xml:space="preserve">who subsequently choose to leave.  </w:t>
      </w:r>
    </w:p>
    <w:p w:rsidR="00DC5F4C" w:rsidRDefault="000472FE" w:rsidP="00FB289C">
      <w:pPr>
        <w:pStyle w:val="normalnumbered"/>
        <w:numPr>
          <w:ilvl w:val="1"/>
          <w:numId w:val="1"/>
        </w:numPr>
        <w:tabs>
          <w:tab w:val="clear" w:pos="2666"/>
          <w:tab w:val="num" w:pos="709"/>
        </w:tabs>
        <w:spacing w:line="264" w:lineRule="auto"/>
        <w:ind w:left="0" w:right="40" w:firstLine="0"/>
        <w:rPr>
          <w:sz w:val="18"/>
          <w:szCs w:val="18"/>
        </w:rPr>
      </w:pPr>
      <w:r w:rsidRPr="00692741">
        <w:rPr>
          <w:sz w:val="18"/>
          <w:szCs w:val="18"/>
        </w:rPr>
        <w:t xml:space="preserve">High </w:t>
      </w:r>
      <w:r w:rsidR="00692741">
        <w:rPr>
          <w:sz w:val="18"/>
          <w:szCs w:val="18"/>
        </w:rPr>
        <w:t>t</w:t>
      </w:r>
      <w:r w:rsidRPr="00692741">
        <w:rPr>
          <w:sz w:val="18"/>
          <w:szCs w:val="18"/>
        </w:rPr>
        <w:t xml:space="preserve">urnover can </w:t>
      </w:r>
      <w:r w:rsidR="008C3067" w:rsidRPr="00692741">
        <w:rPr>
          <w:sz w:val="18"/>
          <w:szCs w:val="18"/>
        </w:rPr>
        <w:t xml:space="preserve">also </w:t>
      </w:r>
      <w:r w:rsidR="00692741">
        <w:rPr>
          <w:sz w:val="18"/>
          <w:szCs w:val="18"/>
        </w:rPr>
        <w:t xml:space="preserve">act as a </w:t>
      </w:r>
      <w:r w:rsidRPr="00692741">
        <w:rPr>
          <w:sz w:val="18"/>
          <w:szCs w:val="18"/>
        </w:rPr>
        <w:t>disincentive for businesses to invest in their workforce</w:t>
      </w:r>
      <w:r w:rsidR="00DC5F4C">
        <w:rPr>
          <w:sz w:val="18"/>
          <w:szCs w:val="18"/>
        </w:rPr>
        <w:t xml:space="preserve">.  </w:t>
      </w:r>
      <w:r w:rsidR="00044F27">
        <w:rPr>
          <w:sz w:val="18"/>
          <w:szCs w:val="18"/>
        </w:rPr>
        <w:t xml:space="preserve">Based on data from the </w:t>
      </w:r>
      <w:r w:rsidR="00044F27" w:rsidRPr="00570B2F">
        <w:rPr>
          <w:sz w:val="18"/>
          <w:szCs w:val="18"/>
        </w:rPr>
        <w:t>UK Employer Skills Survey</w:t>
      </w:r>
      <w:r w:rsidR="00DC5F4C" w:rsidRPr="00570B2F">
        <w:rPr>
          <w:sz w:val="18"/>
          <w:szCs w:val="18"/>
        </w:rPr>
        <w:t xml:space="preserve">, </w:t>
      </w:r>
      <w:r w:rsidR="00570B2F" w:rsidRPr="00570B2F">
        <w:rPr>
          <w:sz w:val="18"/>
          <w:szCs w:val="18"/>
        </w:rPr>
        <w:t>hotels and restaurants</w:t>
      </w:r>
      <w:r w:rsidR="00DC5F4C" w:rsidRPr="00570B2F">
        <w:rPr>
          <w:sz w:val="18"/>
          <w:szCs w:val="18"/>
        </w:rPr>
        <w:t>, both nationally and in Lancashire, are less likely to provide training</w:t>
      </w:r>
      <w:r w:rsidR="00DC5F4C">
        <w:rPr>
          <w:sz w:val="18"/>
          <w:szCs w:val="18"/>
        </w:rPr>
        <w:t xml:space="preserve"> for their staff than businesses across the UK economy as a whole. </w:t>
      </w:r>
      <w:r w:rsidR="00044F27">
        <w:rPr>
          <w:sz w:val="18"/>
          <w:szCs w:val="18"/>
        </w:rPr>
        <w:t>It</w:t>
      </w:r>
      <w:r w:rsidR="00FB289C">
        <w:rPr>
          <w:sz w:val="18"/>
          <w:szCs w:val="18"/>
        </w:rPr>
        <w:t xml:space="preserve"> can </w:t>
      </w:r>
      <w:r w:rsidR="00044F27">
        <w:rPr>
          <w:sz w:val="18"/>
          <w:szCs w:val="18"/>
        </w:rPr>
        <w:t xml:space="preserve">also </w:t>
      </w:r>
      <w:r w:rsidR="00FB289C">
        <w:rPr>
          <w:sz w:val="18"/>
          <w:szCs w:val="18"/>
        </w:rPr>
        <w:t>be difficult</w:t>
      </w:r>
      <w:r w:rsidR="00570B2F">
        <w:rPr>
          <w:sz w:val="18"/>
          <w:szCs w:val="18"/>
        </w:rPr>
        <w:t xml:space="preserve"> from a </w:t>
      </w:r>
      <w:r w:rsidR="00FB289C">
        <w:rPr>
          <w:sz w:val="18"/>
          <w:szCs w:val="18"/>
        </w:rPr>
        <w:t>logistical</w:t>
      </w:r>
      <w:r w:rsidR="00570B2F">
        <w:rPr>
          <w:sz w:val="18"/>
          <w:szCs w:val="18"/>
        </w:rPr>
        <w:t xml:space="preserve"> perspective </w:t>
      </w:r>
      <w:r w:rsidR="00FB289C">
        <w:rPr>
          <w:sz w:val="18"/>
          <w:szCs w:val="18"/>
        </w:rPr>
        <w:t xml:space="preserve">for employers to train </w:t>
      </w:r>
      <w:r w:rsidR="00044F27">
        <w:rPr>
          <w:sz w:val="18"/>
          <w:szCs w:val="18"/>
        </w:rPr>
        <w:t xml:space="preserve">their </w:t>
      </w:r>
      <w:r w:rsidR="00FB289C">
        <w:rPr>
          <w:sz w:val="18"/>
          <w:szCs w:val="18"/>
        </w:rPr>
        <w:t>s</w:t>
      </w:r>
      <w:r w:rsidR="00DC5F4C">
        <w:rPr>
          <w:sz w:val="18"/>
          <w:szCs w:val="18"/>
        </w:rPr>
        <w:t xml:space="preserve">taff </w:t>
      </w:r>
      <w:r w:rsidRPr="00692741">
        <w:rPr>
          <w:sz w:val="18"/>
          <w:szCs w:val="18"/>
        </w:rPr>
        <w:t>at the start of, or during, the high season.</w:t>
      </w:r>
    </w:p>
    <w:p w:rsidR="002E37BF" w:rsidRDefault="002E37BF" w:rsidP="006C256B">
      <w:pPr>
        <w:pStyle w:val="normalnumbered"/>
        <w:tabs>
          <w:tab w:val="clear" w:pos="2666"/>
        </w:tabs>
        <w:spacing w:line="264" w:lineRule="auto"/>
        <w:ind w:left="0" w:right="40" w:firstLine="0"/>
        <w:rPr>
          <w:rFonts w:cs="Arial"/>
          <w:b/>
          <w:color w:val="660066"/>
          <w:sz w:val="22"/>
          <w:szCs w:val="22"/>
        </w:rPr>
      </w:pPr>
    </w:p>
    <w:p w:rsidR="006C256B" w:rsidRPr="00BA3E87" w:rsidRDefault="006C256B" w:rsidP="006C256B">
      <w:pPr>
        <w:pStyle w:val="normalnumbered"/>
        <w:tabs>
          <w:tab w:val="clear" w:pos="2666"/>
        </w:tabs>
        <w:spacing w:line="264" w:lineRule="auto"/>
        <w:ind w:left="0" w:right="40" w:firstLine="0"/>
        <w:rPr>
          <w:rFonts w:ascii="Arial Bold" w:hAnsi="Arial Bold"/>
          <w:color w:val="6C2768"/>
          <w:sz w:val="18"/>
          <w:szCs w:val="18"/>
        </w:rPr>
      </w:pPr>
      <w:r w:rsidRPr="00BA3E87">
        <w:rPr>
          <w:rFonts w:ascii="Arial Bold" w:hAnsi="Arial Bold" w:cs="Arial"/>
          <w:b/>
          <w:color w:val="6C2768"/>
          <w:sz w:val="22"/>
          <w:szCs w:val="22"/>
        </w:rPr>
        <w:lastRenderedPageBreak/>
        <w:t xml:space="preserve">Informal Employment </w:t>
      </w:r>
    </w:p>
    <w:p w:rsidR="00DC5F4C" w:rsidRDefault="00BA3E87" w:rsidP="00FB289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 </w:t>
      </w:r>
      <w:r w:rsidR="00712619">
        <w:rPr>
          <w:sz w:val="18"/>
          <w:szCs w:val="18"/>
        </w:rPr>
        <w:t xml:space="preserve">number of jobs that are offered and secured through </w:t>
      </w:r>
      <w:r w:rsidR="007C6E53" w:rsidRPr="00692741">
        <w:rPr>
          <w:sz w:val="18"/>
          <w:szCs w:val="18"/>
        </w:rPr>
        <w:t xml:space="preserve">unofficial, cash-in-hand </w:t>
      </w:r>
      <w:r>
        <w:rPr>
          <w:sz w:val="18"/>
          <w:szCs w:val="18"/>
        </w:rPr>
        <w:t xml:space="preserve">arrangements is </w:t>
      </w:r>
      <w:r w:rsidR="007C6E53" w:rsidRPr="00692741">
        <w:rPr>
          <w:sz w:val="18"/>
          <w:szCs w:val="18"/>
        </w:rPr>
        <w:t>hard to estimate</w:t>
      </w:r>
      <w:r w:rsidR="00712619">
        <w:rPr>
          <w:sz w:val="18"/>
          <w:szCs w:val="18"/>
        </w:rPr>
        <w:t xml:space="preserve">.  However, </w:t>
      </w:r>
      <w:r w:rsidR="007C6E53" w:rsidRPr="00692741">
        <w:rPr>
          <w:sz w:val="18"/>
          <w:szCs w:val="18"/>
        </w:rPr>
        <w:t xml:space="preserve">based on </w:t>
      </w:r>
      <w:r w:rsidR="00712619">
        <w:rPr>
          <w:sz w:val="18"/>
          <w:szCs w:val="18"/>
        </w:rPr>
        <w:t xml:space="preserve">feedback from </w:t>
      </w:r>
      <w:r w:rsidR="007C6E53" w:rsidRPr="00692741">
        <w:rPr>
          <w:sz w:val="18"/>
          <w:szCs w:val="18"/>
        </w:rPr>
        <w:t>employer</w:t>
      </w:r>
      <w:r w:rsidR="00712619">
        <w:rPr>
          <w:sz w:val="18"/>
          <w:szCs w:val="18"/>
        </w:rPr>
        <w:t>s</w:t>
      </w:r>
      <w:r w:rsidR="007C6E53" w:rsidRPr="00692741">
        <w:rPr>
          <w:sz w:val="18"/>
          <w:szCs w:val="18"/>
        </w:rPr>
        <w:t xml:space="preserve"> and skills provider</w:t>
      </w:r>
      <w:r w:rsidR="00712619">
        <w:rPr>
          <w:sz w:val="18"/>
          <w:szCs w:val="18"/>
        </w:rPr>
        <w:t>s</w:t>
      </w:r>
      <w:r w:rsidR="007C6E53" w:rsidRPr="00692741">
        <w:rPr>
          <w:sz w:val="18"/>
          <w:szCs w:val="18"/>
        </w:rPr>
        <w:t xml:space="preserve"> </w:t>
      </w:r>
      <w:r w:rsidR="00712619">
        <w:rPr>
          <w:sz w:val="18"/>
          <w:szCs w:val="18"/>
        </w:rPr>
        <w:t xml:space="preserve">obtained </w:t>
      </w:r>
      <w:r w:rsidR="00DC5F4C">
        <w:rPr>
          <w:sz w:val="18"/>
          <w:szCs w:val="18"/>
        </w:rPr>
        <w:t xml:space="preserve">for this study </w:t>
      </w:r>
      <w:r>
        <w:rPr>
          <w:sz w:val="18"/>
          <w:szCs w:val="18"/>
        </w:rPr>
        <w:t xml:space="preserve">it </w:t>
      </w:r>
      <w:r w:rsidR="008C3067" w:rsidRPr="00692741">
        <w:rPr>
          <w:sz w:val="18"/>
          <w:szCs w:val="18"/>
        </w:rPr>
        <w:t>is</w:t>
      </w:r>
      <w:r w:rsidR="007C6E53" w:rsidRPr="00692741">
        <w:rPr>
          <w:sz w:val="18"/>
          <w:szCs w:val="18"/>
        </w:rPr>
        <w:t xml:space="preserve"> clearly </w:t>
      </w:r>
      <w:r w:rsidR="00DC5F4C">
        <w:rPr>
          <w:sz w:val="18"/>
          <w:szCs w:val="18"/>
        </w:rPr>
        <w:t xml:space="preserve">very </w:t>
      </w:r>
      <w:r>
        <w:rPr>
          <w:sz w:val="18"/>
          <w:szCs w:val="18"/>
        </w:rPr>
        <w:t xml:space="preserve">prevalent </w:t>
      </w:r>
      <w:r w:rsidR="00DC5F4C">
        <w:rPr>
          <w:sz w:val="18"/>
          <w:szCs w:val="18"/>
        </w:rPr>
        <w:t xml:space="preserve">for the following two reasons: </w:t>
      </w:r>
    </w:p>
    <w:p w:rsidR="00B7244A" w:rsidRDefault="008C3067" w:rsidP="00DC5F4C">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DC5F4C">
        <w:rPr>
          <w:rFonts w:ascii="Arial" w:hAnsi="Arial" w:cs="Arial"/>
          <w:sz w:val="18"/>
          <w:szCs w:val="18"/>
        </w:rPr>
        <w:t>E</w:t>
      </w:r>
      <w:r w:rsidR="007C6E53" w:rsidRPr="00DC5F4C">
        <w:rPr>
          <w:rFonts w:ascii="Arial" w:hAnsi="Arial" w:cs="Arial"/>
          <w:sz w:val="18"/>
          <w:szCs w:val="18"/>
        </w:rPr>
        <w:t xml:space="preserve">mployers </w:t>
      </w:r>
      <w:r w:rsidR="00DC5F4C">
        <w:rPr>
          <w:rFonts w:ascii="Arial" w:hAnsi="Arial" w:cs="Arial"/>
          <w:sz w:val="18"/>
          <w:szCs w:val="18"/>
        </w:rPr>
        <w:t xml:space="preserve">(especially </w:t>
      </w:r>
      <w:r w:rsidR="004B2B71">
        <w:rPr>
          <w:rFonts w:ascii="Arial" w:hAnsi="Arial" w:cs="Arial"/>
          <w:sz w:val="18"/>
          <w:szCs w:val="18"/>
        </w:rPr>
        <w:t>small</w:t>
      </w:r>
      <w:r w:rsidR="004A6C1B">
        <w:rPr>
          <w:rFonts w:ascii="Arial" w:hAnsi="Arial" w:cs="Arial"/>
          <w:sz w:val="18"/>
          <w:szCs w:val="18"/>
        </w:rPr>
        <w:t>er employers</w:t>
      </w:r>
      <w:r w:rsidR="00B7244A">
        <w:rPr>
          <w:rFonts w:ascii="Arial" w:hAnsi="Arial" w:cs="Arial"/>
          <w:sz w:val="18"/>
          <w:szCs w:val="18"/>
        </w:rPr>
        <w:t>)</w:t>
      </w:r>
      <w:r w:rsidR="00DC5F4C" w:rsidRPr="00DC5F4C">
        <w:rPr>
          <w:rFonts w:ascii="Arial" w:hAnsi="Arial" w:cs="Arial"/>
          <w:sz w:val="18"/>
          <w:szCs w:val="18"/>
        </w:rPr>
        <w:t xml:space="preserve"> </w:t>
      </w:r>
      <w:r w:rsidR="00B7244A">
        <w:rPr>
          <w:rFonts w:ascii="Arial" w:hAnsi="Arial" w:cs="Arial"/>
          <w:sz w:val="18"/>
          <w:szCs w:val="18"/>
        </w:rPr>
        <w:t xml:space="preserve">can </w:t>
      </w:r>
      <w:r w:rsidR="007C6E53" w:rsidRPr="00DC5F4C">
        <w:rPr>
          <w:rFonts w:ascii="Arial" w:hAnsi="Arial" w:cs="Arial"/>
          <w:sz w:val="18"/>
          <w:szCs w:val="18"/>
        </w:rPr>
        <w:t xml:space="preserve">find it difficult </w:t>
      </w:r>
      <w:r w:rsidR="004B2B71">
        <w:rPr>
          <w:rFonts w:ascii="Arial" w:hAnsi="Arial" w:cs="Arial"/>
          <w:sz w:val="18"/>
          <w:szCs w:val="18"/>
        </w:rPr>
        <w:t>and time consuming</w:t>
      </w:r>
      <w:r w:rsidR="006960E3">
        <w:rPr>
          <w:rFonts w:ascii="Arial" w:hAnsi="Arial" w:cs="Arial"/>
          <w:sz w:val="18"/>
          <w:szCs w:val="18"/>
        </w:rPr>
        <w:t xml:space="preserve"> </w:t>
      </w:r>
      <w:r w:rsidR="007C6E53" w:rsidRPr="00DC5F4C">
        <w:rPr>
          <w:rFonts w:ascii="Arial" w:hAnsi="Arial" w:cs="Arial"/>
          <w:sz w:val="18"/>
          <w:szCs w:val="18"/>
        </w:rPr>
        <w:t xml:space="preserve">to recruit </w:t>
      </w:r>
      <w:r w:rsidR="006960E3">
        <w:rPr>
          <w:rFonts w:ascii="Arial" w:hAnsi="Arial" w:cs="Arial"/>
          <w:sz w:val="18"/>
          <w:szCs w:val="18"/>
        </w:rPr>
        <w:t xml:space="preserve">staff </w:t>
      </w:r>
      <w:r w:rsidR="004B2B71">
        <w:rPr>
          <w:rFonts w:ascii="Arial" w:hAnsi="Arial" w:cs="Arial"/>
          <w:sz w:val="18"/>
          <w:szCs w:val="18"/>
        </w:rPr>
        <w:t xml:space="preserve">through formal channels </w:t>
      </w:r>
      <w:r w:rsidR="00B7244A">
        <w:rPr>
          <w:rFonts w:ascii="Arial" w:hAnsi="Arial" w:cs="Arial"/>
          <w:sz w:val="18"/>
          <w:szCs w:val="18"/>
        </w:rPr>
        <w:t xml:space="preserve">in sufficient volume </w:t>
      </w:r>
      <w:r w:rsidR="004B2B71">
        <w:rPr>
          <w:rFonts w:ascii="Arial" w:hAnsi="Arial" w:cs="Arial"/>
          <w:sz w:val="18"/>
          <w:szCs w:val="18"/>
        </w:rPr>
        <w:t xml:space="preserve">for their </w:t>
      </w:r>
      <w:r w:rsidR="004A6C1B">
        <w:rPr>
          <w:rFonts w:ascii="Arial" w:hAnsi="Arial" w:cs="Arial"/>
          <w:sz w:val="18"/>
          <w:szCs w:val="18"/>
        </w:rPr>
        <w:t>peak season</w:t>
      </w:r>
      <w:r w:rsidR="004B2B71">
        <w:rPr>
          <w:rFonts w:ascii="Arial" w:hAnsi="Arial" w:cs="Arial"/>
          <w:sz w:val="18"/>
          <w:szCs w:val="18"/>
        </w:rPr>
        <w:t xml:space="preserve">, turning instead </w:t>
      </w:r>
      <w:r w:rsidR="00B7244A">
        <w:rPr>
          <w:rFonts w:ascii="Arial" w:hAnsi="Arial" w:cs="Arial"/>
          <w:sz w:val="18"/>
          <w:szCs w:val="18"/>
        </w:rPr>
        <w:t xml:space="preserve">to informal networks and cash-in-hand </w:t>
      </w:r>
      <w:r w:rsidR="00BA3E87">
        <w:rPr>
          <w:rFonts w:ascii="Arial" w:hAnsi="Arial" w:cs="Arial"/>
          <w:sz w:val="18"/>
          <w:szCs w:val="18"/>
        </w:rPr>
        <w:t>offers</w:t>
      </w:r>
      <w:r w:rsidR="007C6E53" w:rsidRPr="00DC5F4C">
        <w:rPr>
          <w:rFonts w:ascii="Arial" w:hAnsi="Arial" w:cs="Arial"/>
          <w:sz w:val="18"/>
          <w:szCs w:val="18"/>
        </w:rPr>
        <w:t xml:space="preserve">. </w:t>
      </w:r>
      <w:r w:rsidR="00B7244A">
        <w:rPr>
          <w:rFonts w:ascii="Arial" w:hAnsi="Arial" w:cs="Arial"/>
          <w:sz w:val="18"/>
          <w:szCs w:val="18"/>
        </w:rPr>
        <w:t xml:space="preserve"> The timing of </w:t>
      </w:r>
      <w:r w:rsidR="004A6C1B">
        <w:rPr>
          <w:rFonts w:ascii="Arial" w:hAnsi="Arial" w:cs="Arial"/>
          <w:sz w:val="18"/>
          <w:szCs w:val="18"/>
        </w:rPr>
        <w:t>FE</w:t>
      </w:r>
      <w:r w:rsidR="00B7244A">
        <w:rPr>
          <w:rFonts w:ascii="Arial" w:hAnsi="Arial" w:cs="Arial"/>
          <w:sz w:val="18"/>
          <w:szCs w:val="18"/>
        </w:rPr>
        <w:t xml:space="preserve"> provision </w:t>
      </w:r>
      <w:r w:rsidR="004A6C1B">
        <w:rPr>
          <w:rFonts w:ascii="Arial" w:hAnsi="Arial" w:cs="Arial"/>
          <w:sz w:val="18"/>
          <w:szCs w:val="18"/>
        </w:rPr>
        <w:t>can also be</w:t>
      </w:r>
      <w:r w:rsidR="004B2B71">
        <w:rPr>
          <w:rFonts w:ascii="Arial" w:hAnsi="Arial" w:cs="Arial"/>
          <w:sz w:val="18"/>
          <w:szCs w:val="18"/>
        </w:rPr>
        <w:t xml:space="preserve"> factor h</w:t>
      </w:r>
      <w:r w:rsidR="00B7244A">
        <w:rPr>
          <w:rFonts w:ascii="Arial" w:hAnsi="Arial" w:cs="Arial"/>
          <w:sz w:val="18"/>
          <w:szCs w:val="18"/>
        </w:rPr>
        <w:t xml:space="preserve">ere, </w:t>
      </w:r>
      <w:r w:rsidR="006960E3">
        <w:rPr>
          <w:rFonts w:ascii="Arial" w:hAnsi="Arial" w:cs="Arial"/>
          <w:sz w:val="18"/>
          <w:szCs w:val="18"/>
        </w:rPr>
        <w:t xml:space="preserve">as some </w:t>
      </w:r>
      <w:r w:rsidR="00B7244A">
        <w:rPr>
          <w:rFonts w:ascii="Arial" w:hAnsi="Arial" w:cs="Arial"/>
          <w:sz w:val="18"/>
          <w:szCs w:val="18"/>
        </w:rPr>
        <w:t xml:space="preserve">employers </w:t>
      </w:r>
      <w:r w:rsidR="006960E3">
        <w:rPr>
          <w:rFonts w:ascii="Arial" w:hAnsi="Arial" w:cs="Arial"/>
          <w:sz w:val="18"/>
          <w:szCs w:val="18"/>
        </w:rPr>
        <w:t xml:space="preserve">are </w:t>
      </w:r>
      <w:r w:rsidR="00B7244A">
        <w:rPr>
          <w:rFonts w:ascii="Arial" w:hAnsi="Arial" w:cs="Arial"/>
          <w:sz w:val="18"/>
          <w:szCs w:val="18"/>
        </w:rPr>
        <w:t>keen to take on college leavers</w:t>
      </w:r>
      <w:r w:rsidR="006960E3">
        <w:rPr>
          <w:rFonts w:ascii="Arial" w:hAnsi="Arial" w:cs="Arial"/>
          <w:sz w:val="18"/>
          <w:szCs w:val="18"/>
        </w:rPr>
        <w:t xml:space="preserve"> from the Easter period onwards, but </w:t>
      </w:r>
      <w:r w:rsidR="004B2B71">
        <w:rPr>
          <w:rFonts w:ascii="Arial" w:hAnsi="Arial" w:cs="Arial"/>
          <w:sz w:val="18"/>
          <w:szCs w:val="18"/>
        </w:rPr>
        <w:t xml:space="preserve">find themselves unable to because the </w:t>
      </w:r>
      <w:r w:rsidR="00BA3E87">
        <w:rPr>
          <w:rFonts w:ascii="Arial" w:hAnsi="Arial" w:cs="Arial"/>
          <w:sz w:val="18"/>
          <w:szCs w:val="18"/>
        </w:rPr>
        <w:t xml:space="preserve">learners </w:t>
      </w:r>
      <w:r w:rsidR="004B2B71">
        <w:rPr>
          <w:rFonts w:ascii="Arial" w:hAnsi="Arial" w:cs="Arial"/>
          <w:sz w:val="18"/>
          <w:szCs w:val="18"/>
        </w:rPr>
        <w:t xml:space="preserve">are </w:t>
      </w:r>
      <w:r w:rsidR="006960E3">
        <w:rPr>
          <w:rFonts w:ascii="Arial" w:hAnsi="Arial" w:cs="Arial"/>
          <w:sz w:val="18"/>
          <w:szCs w:val="18"/>
        </w:rPr>
        <w:t xml:space="preserve">still on programme until the end of the academic year.   </w:t>
      </w:r>
      <w:r w:rsidR="00B7244A">
        <w:rPr>
          <w:rFonts w:ascii="Arial" w:hAnsi="Arial" w:cs="Arial"/>
          <w:sz w:val="18"/>
          <w:szCs w:val="18"/>
        </w:rPr>
        <w:t xml:space="preserve">  </w:t>
      </w: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9"/>
      </w:tblGrid>
      <w:tr w:rsidR="005B688F" w:rsidRPr="00971220" w:rsidTr="005B688F">
        <w:tc>
          <w:tcPr>
            <w:tcW w:w="6379" w:type="dxa"/>
            <w:shd w:val="clear" w:color="auto" w:fill="B8CCE4" w:themeFill="accent1" w:themeFillTint="66"/>
          </w:tcPr>
          <w:p w:rsidR="00A10E03" w:rsidRDefault="005B688F" w:rsidP="00A10E03">
            <w:pPr>
              <w:pStyle w:val="normalnumbered"/>
              <w:tabs>
                <w:tab w:val="clear" w:pos="2666"/>
              </w:tabs>
              <w:spacing w:after="60" w:line="264" w:lineRule="auto"/>
              <w:ind w:left="176" w:right="176" w:firstLine="0"/>
              <w:jc w:val="center"/>
              <w:rPr>
                <w:i/>
                <w:sz w:val="18"/>
                <w:szCs w:val="18"/>
              </w:rPr>
            </w:pPr>
            <w:r>
              <w:rPr>
                <w:i/>
                <w:sz w:val="18"/>
                <w:szCs w:val="18"/>
              </w:rPr>
              <w:t>“If they [the FE college students] aren’t available until late June or July, that’s too late for us.  We have to look elsewhere, which is a shame because the college students have actually done on a course which gives them a bit of know-how about our industry</w:t>
            </w:r>
            <w:r w:rsidR="004A6C1B">
              <w:rPr>
                <w:i/>
                <w:sz w:val="18"/>
                <w:szCs w:val="18"/>
              </w:rPr>
              <w:t>.</w:t>
            </w:r>
            <w:r>
              <w:rPr>
                <w:i/>
                <w:sz w:val="18"/>
                <w:szCs w:val="18"/>
              </w:rPr>
              <w:t xml:space="preserve">” </w:t>
            </w:r>
            <w:r w:rsidR="00A10E03">
              <w:rPr>
                <w:i/>
                <w:sz w:val="18"/>
                <w:szCs w:val="18"/>
              </w:rPr>
              <w:t xml:space="preserve">  </w:t>
            </w:r>
          </w:p>
          <w:p w:rsidR="005B688F" w:rsidRPr="005B688F" w:rsidRDefault="00A10E03" w:rsidP="00A10E03">
            <w:pPr>
              <w:pStyle w:val="normalnumbered"/>
              <w:tabs>
                <w:tab w:val="clear" w:pos="2666"/>
              </w:tabs>
              <w:spacing w:before="60" w:after="120" w:line="264" w:lineRule="auto"/>
              <w:ind w:left="176" w:right="176" w:firstLine="0"/>
              <w:jc w:val="center"/>
              <w:rPr>
                <w:i/>
                <w:sz w:val="18"/>
                <w:szCs w:val="18"/>
              </w:rPr>
            </w:pPr>
            <w:r>
              <w:rPr>
                <w:sz w:val="18"/>
                <w:szCs w:val="18"/>
              </w:rPr>
              <w:t>M</w:t>
            </w:r>
            <w:r w:rsidR="00F2141A">
              <w:rPr>
                <w:sz w:val="18"/>
                <w:szCs w:val="18"/>
              </w:rPr>
              <w:t>anager of an independent hotel</w:t>
            </w:r>
          </w:p>
        </w:tc>
      </w:tr>
    </w:tbl>
    <w:p w:rsidR="005B688F" w:rsidRPr="00D14630" w:rsidRDefault="005B688F" w:rsidP="00A10E03">
      <w:pPr>
        <w:pStyle w:val="normalnumbered"/>
        <w:tabs>
          <w:tab w:val="clear" w:pos="2666"/>
        </w:tabs>
        <w:spacing w:after="120" w:line="264" w:lineRule="auto"/>
        <w:ind w:left="0" w:right="40" w:firstLine="0"/>
        <w:jc w:val="center"/>
        <w:rPr>
          <w:sz w:val="2"/>
          <w:szCs w:val="2"/>
        </w:rPr>
      </w:pPr>
    </w:p>
    <w:p w:rsidR="000472FE" w:rsidRPr="00DC5F4C" w:rsidRDefault="00F2141A" w:rsidP="00DC5F4C">
      <w:pPr>
        <w:pStyle w:val="ListParagraph"/>
        <w:numPr>
          <w:ilvl w:val="0"/>
          <w:numId w:val="2"/>
        </w:numPr>
        <w:spacing w:before="120" w:after="120" w:line="264" w:lineRule="auto"/>
        <w:ind w:left="284" w:hanging="284"/>
        <w:contextualSpacing w:val="0"/>
        <w:jc w:val="both"/>
        <w:rPr>
          <w:rFonts w:ascii="Arial" w:hAnsi="Arial" w:cs="Arial"/>
          <w:sz w:val="18"/>
          <w:szCs w:val="18"/>
        </w:rPr>
      </w:pPr>
      <w:r>
        <w:rPr>
          <w:rFonts w:ascii="Arial" w:hAnsi="Arial" w:cs="Arial"/>
          <w:sz w:val="18"/>
          <w:szCs w:val="18"/>
        </w:rPr>
        <w:t xml:space="preserve">Young people </w:t>
      </w:r>
      <w:r w:rsidR="000472FE" w:rsidRPr="00DC5F4C">
        <w:rPr>
          <w:rFonts w:ascii="Arial" w:hAnsi="Arial" w:cs="Arial"/>
          <w:sz w:val="18"/>
          <w:szCs w:val="18"/>
        </w:rPr>
        <w:t xml:space="preserve">can </w:t>
      </w:r>
      <w:r>
        <w:rPr>
          <w:rFonts w:ascii="Arial" w:hAnsi="Arial" w:cs="Arial"/>
          <w:sz w:val="18"/>
          <w:szCs w:val="18"/>
        </w:rPr>
        <w:t xml:space="preserve">(naturally) </w:t>
      </w:r>
      <w:r w:rsidR="000472FE" w:rsidRPr="00DC5F4C">
        <w:rPr>
          <w:rFonts w:ascii="Arial" w:hAnsi="Arial" w:cs="Arial"/>
          <w:sz w:val="18"/>
          <w:szCs w:val="18"/>
        </w:rPr>
        <w:t xml:space="preserve">be </w:t>
      </w:r>
      <w:r>
        <w:rPr>
          <w:rFonts w:ascii="Arial" w:hAnsi="Arial" w:cs="Arial"/>
          <w:sz w:val="18"/>
          <w:szCs w:val="18"/>
        </w:rPr>
        <w:t xml:space="preserve">drawn by the </w:t>
      </w:r>
      <w:r w:rsidR="000472FE" w:rsidRPr="00DC5F4C">
        <w:rPr>
          <w:rFonts w:ascii="Arial" w:hAnsi="Arial" w:cs="Arial"/>
          <w:sz w:val="18"/>
          <w:szCs w:val="18"/>
        </w:rPr>
        <w:t>appeal of cash-in-hand summer work in the sector, despite it being short term</w:t>
      </w:r>
      <w:r w:rsidR="008C3067" w:rsidRPr="00DC5F4C">
        <w:rPr>
          <w:rFonts w:ascii="Arial" w:hAnsi="Arial" w:cs="Arial"/>
          <w:sz w:val="18"/>
          <w:szCs w:val="18"/>
        </w:rPr>
        <w:t xml:space="preserve">, </w:t>
      </w:r>
      <w:r w:rsidR="000472FE" w:rsidRPr="00DC5F4C">
        <w:rPr>
          <w:rFonts w:ascii="Arial" w:hAnsi="Arial" w:cs="Arial"/>
          <w:sz w:val="18"/>
          <w:szCs w:val="18"/>
        </w:rPr>
        <w:t>low paid</w:t>
      </w:r>
      <w:r w:rsidR="008C3067" w:rsidRPr="00DC5F4C">
        <w:rPr>
          <w:rFonts w:ascii="Arial" w:hAnsi="Arial" w:cs="Arial"/>
          <w:sz w:val="18"/>
          <w:szCs w:val="18"/>
        </w:rPr>
        <w:t xml:space="preserve"> and lacking </w:t>
      </w:r>
      <w:r w:rsidR="004A6C1B">
        <w:rPr>
          <w:rFonts w:ascii="Arial" w:hAnsi="Arial" w:cs="Arial"/>
          <w:sz w:val="18"/>
          <w:szCs w:val="18"/>
        </w:rPr>
        <w:t xml:space="preserve">in </w:t>
      </w:r>
      <w:r w:rsidR="008C3067" w:rsidRPr="00DC5F4C">
        <w:rPr>
          <w:rFonts w:ascii="Arial" w:hAnsi="Arial" w:cs="Arial"/>
          <w:sz w:val="18"/>
          <w:szCs w:val="18"/>
        </w:rPr>
        <w:t>future prospects</w:t>
      </w:r>
      <w:r w:rsidR="000472FE" w:rsidRPr="00DC5F4C">
        <w:rPr>
          <w:rFonts w:ascii="Arial" w:hAnsi="Arial" w:cs="Arial"/>
          <w:sz w:val="18"/>
          <w:szCs w:val="18"/>
        </w:rPr>
        <w:t xml:space="preserve">. </w:t>
      </w:r>
      <w:r>
        <w:rPr>
          <w:rFonts w:ascii="Arial" w:hAnsi="Arial" w:cs="Arial"/>
          <w:sz w:val="18"/>
          <w:szCs w:val="18"/>
        </w:rPr>
        <w:t xml:space="preserve"> For the duration of the employment, the average wage will often comfortably exceed the minimum paid to apprentices. </w:t>
      </w:r>
    </w:p>
    <w:p w:rsidR="000472FE" w:rsidRPr="006C256B" w:rsidRDefault="00BA3E87" w:rsidP="006C256B">
      <w:pPr>
        <w:pStyle w:val="normalnumbered"/>
        <w:numPr>
          <w:ilvl w:val="1"/>
          <w:numId w:val="1"/>
        </w:numPr>
        <w:tabs>
          <w:tab w:val="clear" w:pos="2666"/>
          <w:tab w:val="num" w:pos="709"/>
        </w:tabs>
        <w:spacing w:line="264" w:lineRule="auto"/>
        <w:ind w:left="0" w:right="40" w:firstLine="0"/>
        <w:rPr>
          <w:rFonts w:cs="Arial"/>
          <w:sz w:val="18"/>
          <w:szCs w:val="18"/>
        </w:rPr>
      </w:pPr>
      <w:r>
        <w:rPr>
          <w:sz w:val="18"/>
          <w:szCs w:val="18"/>
        </w:rPr>
        <w:t>T</w:t>
      </w:r>
      <w:r w:rsidR="003B75FB">
        <w:rPr>
          <w:sz w:val="18"/>
          <w:szCs w:val="18"/>
        </w:rPr>
        <w:t xml:space="preserve">hese issues have </w:t>
      </w:r>
      <w:r w:rsidR="004A6C1B">
        <w:rPr>
          <w:sz w:val="18"/>
          <w:szCs w:val="18"/>
        </w:rPr>
        <w:t>existed for many years in</w:t>
      </w:r>
      <w:r w:rsidR="00F2141A">
        <w:rPr>
          <w:sz w:val="18"/>
          <w:szCs w:val="18"/>
        </w:rPr>
        <w:t xml:space="preserve"> the sector and </w:t>
      </w:r>
      <w:r w:rsidR="003B75FB">
        <w:rPr>
          <w:sz w:val="18"/>
          <w:szCs w:val="18"/>
        </w:rPr>
        <w:t>are</w:t>
      </w:r>
      <w:r>
        <w:rPr>
          <w:sz w:val="18"/>
          <w:szCs w:val="18"/>
        </w:rPr>
        <w:t xml:space="preserve"> </w:t>
      </w:r>
      <w:r w:rsidR="004A6C1B">
        <w:rPr>
          <w:sz w:val="18"/>
          <w:szCs w:val="18"/>
        </w:rPr>
        <w:t xml:space="preserve">far from straightforward </w:t>
      </w:r>
      <w:r w:rsidR="00F2141A">
        <w:rPr>
          <w:sz w:val="18"/>
          <w:szCs w:val="18"/>
        </w:rPr>
        <w:t xml:space="preserve">to address.  </w:t>
      </w:r>
      <w:r w:rsidR="003B75FB">
        <w:rPr>
          <w:sz w:val="18"/>
          <w:szCs w:val="18"/>
        </w:rPr>
        <w:t xml:space="preserve">They are also </w:t>
      </w:r>
      <w:r w:rsidR="00F2141A">
        <w:rPr>
          <w:sz w:val="18"/>
          <w:szCs w:val="18"/>
        </w:rPr>
        <w:t>by no means unique to Lancashire</w:t>
      </w:r>
      <w:r w:rsidR="004A6C1B">
        <w:rPr>
          <w:sz w:val="18"/>
          <w:szCs w:val="18"/>
        </w:rPr>
        <w:t xml:space="preserve">: </w:t>
      </w:r>
      <w:r w:rsidR="004B2B71">
        <w:rPr>
          <w:sz w:val="18"/>
          <w:szCs w:val="18"/>
        </w:rPr>
        <w:t xml:space="preserve">a study dating back to 1994 </w:t>
      </w:r>
      <w:r w:rsidR="00F2141A">
        <w:rPr>
          <w:sz w:val="18"/>
          <w:szCs w:val="18"/>
        </w:rPr>
        <w:t xml:space="preserve">and </w:t>
      </w:r>
      <w:r w:rsidR="004B2B71">
        <w:rPr>
          <w:sz w:val="18"/>
          <w:szCs w:val="18"/>
        </w:rPr>
        <w:t xml:space="preserve">another from </w:t>
      </w:r>
      <w:r w:rsidR="00F2141A">
        <w:rPr>
          <w:sz w:val="18"/>
          <w:szCs w:val="18"/>
        </w:rPr>
        <w:t>2004 noted the prevalence of black market employment in the tourism sector nationally</w:t>
      </w:r>
      <w:r w:rsidR="00F2141A">
        <w:rPr>
          <w:rStyle w:val="FootnoteReference"/>
          <w:sz w:val="18"/>
          <w:szCs w:val="18"/>
        </w:rPr>
        <w:footnoteReference w:id="38"/>
      </w:r>
      <w:r w:rsidR="00F2141A">
        <w:rPr>
          <w:sz w:val="18"/>
          <w:szCs w:val="18"/>
        </w:rPr>
        <w:t xml:space="preserve">.  But that is not to say that new and additional efforts </w:t>
      </w:r>
      <w:r w:rsidR="00AF4AE3">
        <w:rPr>
          <w:sz w:val="18"/>
          <w:szCs w:val="18"/>
        </w:rPr>
        <w:t>should not be made to try and make further inroads</w:t>
      </w:r>
      <w:r w:rsidR="004A6C1B">
        <w:rPr>
          <w:sz w:val="18"/>
          <w:szCs w:val="18"/>
        </w:rPr>
        <w:t xml:space="preserve"> into </w:t>
      </w:r>
      <w:r w:rsidR="003B75FB">
        <w:rPr>
          <w:sz w:val="18"/>
          <w:szCs w:val="18"/>
        </w:rPr>
        <w:t>them</w:t>
      </w:r>
      <w:r w:rsidR="00AF4AE3">
        <w:rPr>
          <w:sz w:val="18"/>
          <w:szCs w:val="18"/>
        </w:rPr>
        <w:t>.  As such, the actions in Chapter</w:t>
      </w:r>
      <w:r w:rsidR="000115C9">
        <w:rPr>
          <w:sz w:val="18"/>
          <w:szCs w:val="18"/>
        </w:rPr>
        <w:t xml:space="preserve"> </w:t>
      </w:r>
      <w:r w:rsidR="007E1190">
        <w:rPr>
          <w:sz w:val="18"/>
          <w:szCs w:val="18"/>
        </w:rPr>
        <w:t>Seven</w:t>
      </w:r>
      <w:r>
        <w:rPr>
          <w:sz w:val="18"/>
          <w:szCs w:val="18"/>
        </w:rPr>
        <w:t xml:space="preserve"> </w:t>
      </w:r>
      <w:r w:rsidR="00AF4AE3">
        <w:rPr>
          <w:sz w:val="18"/>
          <w:szCs w:val="18"/>
        </w:rPr>
        <w:t xml:space="preserve">advocate the provision of </w:t>
      </w:r>
      <w:r w:rsidR="000472FE">
        <w:rPr>
          <w:sz w:val="18"/>
          <w:szCs w:val="18"/>
        </w:rPr>
        <w:t xml:space="preserve">good quality, accurate and timely advice </w:t>
      </w:r>
      <w:r w:rsidR="00AF4AE3">
        <w:rPr>
          <w:sz w:val="18"/>
          <w:szCs w:val="18"/>
        </w:rPr>
        <w:t>for young people</w:t>
      </w:r>
      <w:r w:rsidR="004B2B71">
        <w:rPr>
          <w:sz w:val="18"/>
          <w:szCs w:val="18"/>
        </w:rPr>
        <w:t xml:space="preserve"> about jobs and careers in the sector</w:t>
      </w:r>
      <w:r w:rsidR="00AF4AE3">
        <w:rPr>
          <w:sz w:val="18"/>
          <w:szCs w:val="18"/>
        </w:rPr>
        <w:t xml:space="preserve">. They also encourage </w:t>
      </w:r>
      <w:r w:rsidR="000472FE">
        <w:rPr>
          <w:sz w:val="18"/>
          <w:szCs w:val="18"/>
        </w:rPr>
        <w:t xml:space="preserve">skills providers to consider whether they can compress the delivery schedule for provision relevant to the visitor economy </w:t>
      </w:r>
      <w:r w:rsidR="004A6C1B">
        <w:rPr>
          <w:sz w:val="18"/>
          <w:szCs w:val="18"/>
        </w:rPr>
        <w:t>to be better aligned</w:t>
      </w:r>
      <w:r w:rsidR="003B75FB">
        <w:rPr>
          <w:sz w:val="18"/>
          <w:szCs w:val="18"/>
        </w:rPr>
        <w:t xml:space="preserve"> with the annual surge in demand from employers. </w:t>
      </w:r>
    </w:p>
    <w:p w:rsidR="000472FE" w:rsidRPr="00BA3E87" w:rsidRDefault="00583593" w:rsidP="000472FE">
      <w:pPr>
        <w:spacing w:before="120" w:after="120" w:line="264" w:lineRule="auto"/>
        <w:jc w:val="both"/>
        <w:rPr>
          <w:rFonts w:ascii="Arial Bold" w:hAnsi="Arial Bold" w:cs="Arial"/>
          <w:b/>
          <w:color w:val="6C2768"/>
          <w:sz w:val="22"/>
          <w:szCs w:val="22"/>
          <w:lang w:eastAsia="en-GB"/>
        </w:rPr>
      </w:pPr>
      <w:r w:rsidRPr="00BA3E87">
        <w:rPr>
          <w:rFonts w:ascii="Arial Bold" w:hAnsi="Arial Bold" w:cs="Arial"/>
          <w:b/>
          <w:color w:val="6C2768"/>
          <w:sz w:val="22"/>
          <w:szCs w:val="22"/>
          <w:lang w:eastAsia="en-GB"/>
        </w:rPr>
        <w:lastRenderedPageBreak/>
        <w:t xml:space="preserve">Why do Recruitment Challenges Exist?  </w:t>
      </w:r>
    </w:p>
    <w:p w:rsidR="008F0A15" w:rsidRPr="00685674" w:rsidRDefault="00A35030" w:rsidP="0074166F">
      <w:pPr>
        <w:tabs>
          <w:tab w:val="num" w:pos="860"/>
          <w:tab w:val="num" w:pos="1105"/>
        </w:tabs>
        <w:spacing w:before="120" w:after="120" w:line="288" w:lineRule="auto"/>
        <w:jc w:val="both"/>
        <w:rPr>
          <w:rFonts w:ascii="Arial" w:hAnsi="Arial" w:cs="Arial"/>
          <w:b/>
          <w:color w:val="660066"/>
          <w:sz w:val="20"/>
          <w:szCs w:val="20"/>
        </w:rPr>
      </w:pPr>
      <w:r w:rsidRPr="006C256B">
        <w:rPr>
          <w:rFonts w:ascii="Arial" w:hAnsi="Arial" w:cs="Arial"/>
          <w:b/>
          <w:i/>
          <w:color w:val="660066"/>
          <w:sz w:val="20"/>
          <w:szCs w:val="20"/>
        </w:rPr>
        <w:t>Pay and c</w:t>
      </w:r>
      <w:r w:rsidR="008F0A15" w:rsidRPr="006C256B">
        <w:rPr>
          <w:rFonts w:ascii="Arial" w:hAnsi="Arial" w:cs="Arial"/>
          <w:b/>
          <w:i/>
          <w:color w:val="660066"/>
          <w:sz w:val="20"/>
          <w:szCs w:val="20"/>
        </w:rPr>
        <w:t>onditions</w:t>
      </w:r>
      <w:r w:rsidRPr="006C256B">
        <w:rPr>
          <w:rFonts w:ascii="Arial" w:hAnsi="Arial" w:cs="Arial"/>
          <w:b/>
          <w:i/>
          <w:color w:val="660066"/>
          <w:sz w:val="20"/>
          <w:szCs w:val="20"/>
        </w:rPr>
        <w:t xml:space="preserve"> do not compare wel</w:t>
      </w:r>
      <w:r w:rsidRPr="002E37BF">
        <w:rPr>
          <w:rFonts w:ascii="Arial" w:hAnsi="Arial" w:cs="Arial"/>
          <w:b/>
          <w:i/>
          <w:color w:val="660066"/>
          <w:sz w:val="20"/>
          <w:szCs w:val="20"/>
        </w:rPr>
        <w:t>l</w:t>
      </w:r>
    </w:p>
    <w:p w:rsidR="008F0A15" w:rsidRDefault="008F0A15" w:rsidP="000472FE">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Average wages in the visitor </w:t>
      </w:r>
      <w:r w:rsidR="00ED49A3">
        <w:rPr>
          <w:sz w:val="18"/>
          <w:szCs w:val="18"/>
        </w:rPr>
        <w:t xml:space="preserve">economy </w:t>
      </w:r>
      <w:r>
        <w:rPr>
          <w:sz w:val="18"/>
          <w:szCs w:val="18"/>
        </w:rPr>
        <w:t>are</w:t>
      </w:r>
      <w:r w:rsidR="00A54F78">
        <w:rPr>
          <w:sz w:val="18"/>
          <w:szCs w:val="18"/>
        </w:rPr>
        <w:t xml:space="preserve"> </w:t>
      </w:r>
      <w:r>
        <w:rPr>
          <w:sz w:val="18"/>
          <w:szCs w:val="18"/>
        </w:rPr>
        <w:t xml:space="preserve">less than half of the all-sector average for Lancashire. Weekend and evening work is common to many roles </w:t>
      </w:r>
      <w:r w:rsidR="00ED49A3">
        <w:rPr>
          <w:sz w:val="18"/>
          <w:szCs w:val="18"/>
        </w:rPr>
        <w:t xml:space="preserve">and whilst there are evidently </w:t>
      </w:r>
      <w:r w:rsidR="0074166F">
        <w:rPr>
          <w:sz w:val="18"/>
          <w:szCs w:val="18"/>
        </w:rPr>
        <w:t>numerous</w:t>
      </w:r>
      <w:r w:rsidR="00A54F78">
        <w:rPr>
          <w:sz w:val="18"/>
          <w:szCs w:val="18"/>
        </w:rPr>
        <w:t xml:space="preserve"> </w:t>
      </w:r>
      <w:r w:rsidR="00ED49A3">
        <w:rPr>
          <w:sz w:val="18"/>
          <w:szCs w:val="18"/>
        </w:rPr>
        <w:t xml:space="preserve">career paths that </w:t>
      </w:r>
      <w:r w:rsidR="000613A5">
        <w:rPr>
          <w:sz w:val="18"/>
          <w:szCs w:val="18"/>
        </w:rPr>
        <w:t xml:space="preserve">can </w:t>
      </w:r>
      <w:r w:rsidR="00A54F78">
        <w:rPr>
          <w:sz w:val="18"/>
          <w:szCs w:val="18"/>
        </w:rPr>
        <w:t xml:space="preserve">lead to </w:t>
      </w:r>
      <w:r w:rsidR="000613A5">
        <w:rPr>
          <w:sz w:val="18"/>
          <w:szCs w:val="18"/>
        </w:rPr>
        <w:t>considerable financial rewards</w:t>
      </w:r>
      <w:r w:rsidR="00ED49A3">
        <w:rPr>
          <w:sz w:val="18"/>
          <w:szCs w:val="18"/>
        </w:rPr>
        <w:t xml:space="preserve">, the entry level salaries are, in many cases, </w:t>
      </w:r>
      <w:r w:rsidR="00A54F78">
        <w:rPr>
          <w:sz w:val="18"/>
          <w:szCs w:val="18"/>
        </w:rPr>
        <w:t xml:space="preserve">at the </w:t>
      </w:r>
      <w:r w:rsidR="009964DD">
        <w:rPr>
          <w:sz w:val="18"/>
          <w:szCs w:val="18"/>
        </w:rPr>
        <w:t xml:space="preserve">minimum wage. </w:t>
      </w:r>
      <w:r w:rsidR="00ED49A3">
        <w:rPr>
          <w:sz w:val="18"/>
          <w:szCs w:val="18"/>
        </w:rPr>
        <w:t xml:space="preserve">   </w:t>
      </w:r>
    </w:p>
    <w:p w:rsidR="009964DD" w:rsidRDefault="009964DD" w:rsidP="000613A5">
      <w:pPr>
        <w:pStyle w:val="normalnumbered"/>
        <w:numPr>
          <w:ilvl w:val="1"/>
          <w:numId w:val="1"/>
        </w:numPr>
        <w:tabs>
          <w:tab w:val="clear" w:pos="2666"/>
          <w:tab w:val="num" w:pos="709"/>
        </w:tabs>
        <w:spacing w:line="264" w:lineRule="auto"/>
        <w:ind w:left="0" w:right="40" w:firstLine="0"/>
        <w:rPr>
          <w:sz w:val="18"/>
          <w:szCs w:val="18"/>
        </w:rPr>
      </w:pPr>
      <w:r>
        <w:rPr>
          <w:sz w:val="18"/>
          <w:szCs w:val="18"/>
        </w:rPr>
        <w:t>National economic cycles</w:t>
      </w:r>
      <w:r w:rsidR="000613A5">
        <w:rPr>
          <w:sz w:val="18"/>
          <w:szCs w:val="18"/>
        </w:rPr>
        <w:t xml:space="preserve"> </w:t>
      </w:r>
      <w:r w:rsidR="0074166F">
        <w:rPr>
          <w:sz w:val="18"/>
          <w:szCs w:val="18"/>
        </w:rPr>
        <w:t xml:space="preserve">can </w:t>
      </w:r>
      <w:r w:rsidR="000613A5">
        <w:rPr>
          <w:sz w:val="18"/>
          <w:szCs w:val="18"/>
        </w:rPr>
        <w:t xml:space="preserve">also affect the relative appeal of pay and conditions in low paying sectors.  </w:t>
      </w:r>
      <w:r>
        <w:rPr>
          <w:sz w:val="18"/>
          <w:szCs w:val="18"/>
        </w:rPr>
        <w:t xml:space="preserve"> </w:t>
      </w:r>
      <w:r w:rsidR="000613A5">
        <w:rPr>
          <w:sz w:val="18"/>
          <w:szCs w:val="18"/>
        </w:rPr>
        <w:t xml:space="preserve">The visitor economy and social care, amongst others, </w:t>
      </w:r>
      <w:r w:rsidR="0074166F">
        <w:rPr>
          <w:sz w:val="18"/>
          <w:szCs w:val="18"/>
        </w:rPr>
        <w:t xml:space="preserve">have been known to </w:t>
      </w:r>
      <w:r w:rsidR="000613A5">
        <w:rPr>
          <w:sz w:val="18"/>
          <w:szCs w:val="18"/>
        </w:rPr>
        <w:t xml:space="preserve">experience </w:t>
      </w:r>
      <w:r>
        <w:rPr>
          <w:sz w:val="18"/>
          <w:szCs w:val="18"/>
        </w:rPr>
        <w:t xml:space="preserve">more pronounced recruitment challenges when the </w:t>
      </w:r>
      <w:r w:rsidR="000613A5">
        <w:rPr>
          <w:sz w:val="18"/>
          <w:szCs w:val="18"/>
        </w:rPr>
        <w:t xml:space="preserve">national </w:t>
      </w:r>
      <w:r>
        <w:rPr>
          <w:sz w:val="18"/>
          <w:szCs w:val="18"/>
        </w:rPr>
        <w:t xml:space="preserve">economy is more buoyant and individuals have greater choice over where they work.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1"/>
      </w:tblGrid>
      <w:tr w:rsidR="000613A5" w:rsidRPr="00971220" w:rsidTr="00A35030">
        <w:tc>
          <w:tcPr>
            <w:tcW w:w="6521" w:type="dxa"/>
            <w:shd w:val="clear" w:color="auto" w:fill="B8CCE4" w:themeFill="accent1" w:themeFillTint="66"/>
          </w:tcPr>
          <w:p w:rsidR="00A10E03" w:rsidRDefault="00A35030" w:rsidP="00A10E03">
            <w:pPr>
              <w:pStyle w:val="normalnumbered"/>
              <w:tabs>
                <w:tab w:val="clear" w:pos="2666"/>
              </w:tabs>
              <w:spacing w:after="60" w:line="264" w:lineRule="auto"/>
              <w:ind w:left="176" w:right="176" w:firstLine="0"/>
              <w:jc w:val="center"/>
              <w:rPr>
                <w:i/>
                <w:sz w:val="18"/>
                <w:szCs w:val="18"/>
              </w:rPr>
            </w:pPr>
            <w:r w:rsidRPr="006B427B">
              <w:rPr>
                <w:i/>
                <w:sz w:val="18"/>
                <w:szCs w:val="18"/>
              </w:rPr>
              <w:t>“</w:t>
            </w:r>
            <w:r w:rsidRPr="009964DD">
              <w:rPr>
                <w:i/>
                <w:sz w:val="18"/>
                <w:szCs w:val="18"/>
              </w:rPr>
              <w:t>Improvements in the economy, shift working, working over seven days.....all of these things make a job in our sector less appealing than other opportunities”</w:t>
            </w:r>
          </w:p>
          <w:p w:rsidR="000613A5" w:rsidRPr="00A10E03" w:rsidRDefault="00A35030" w:rsidP="00A10E03">
            <w:pPr>
              <w:pStyle w:val="normalnumbered"/>
              <w:tabs>
                <w:tab w:val="clear" w:pos="2666"/>
              </w:tabs>
              <w:spacing w:before="60" w:after="120" w:line="264" w:lineRule="auto"/>
              <w:ind w:left="176" w:right="176" w:firstLine="0"/>
              <w:jc w:val="center"/>
              <w:rPr>
                <w:i/>
                <w:sz w:val="18"/>
                <w:szCs w:val="18"/>
              </w:rPr>
            </w:pPr>
            <w:r w:rsidRPr="00A10E03">
              <w:rPr>
                <w:sz w:val="18"/>
                <w:szCs w:val="18"/>
              </w:rPr>
              <w:t>Employer</w:t>
            </w:r>
          </w:p>
        </w:tc>
      </w:tr>
    </w:tbl>
    <w:p w:rsidR="000613A5" w:rsidRDefault="000613A5" w:rsidP="000613A5">
      <w:pPr>
        <w:pStyle w:val="normalnumbered"/>
        <w:tabs>
          <w:tab w:val="clear" w:pos="2666"/>
        </w:tabs>
        <w:spacing w:after="120" w:line="264" w:lineRule="auto"/>
        <w:ind w:left="0" w:right="40" w:firstLine="0"/>
        <w:rPr>
          <w:sz w:val="2"/>
          <w:szCs w:val="2"/>
        </w:rPr>
      </w:pPr>
    </w:p>
    <w:p w:rsidR="004C651F" w:rsidRDefault="004C651F" w:rsidP="004C651F">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Anecdotally, employers also noted that fewer Eastern European migrants are putting themselves forward for visitor economy employment than in the past.  For some employers, Eastern European workers have been (and remain) an important </w:t>
      </w:r>
      <w:r w:rsidR="00BA3E87">
        <w:rPr>
          <w:sz w:val="18"/>
          <w:szCs w:val="18"/>
        </w:rPr>
        <w:t>way of</w:t>
      </w:r>
      <w:r>
        <w:rPr>
          <w:sz w:val="18"/>
          <w:szCs w:val="18"/>
        </w:rPr>
        <w:t xml:space="preserve"> filling vacancies and </w:t>
      </w:r>
      <w:r w:rsidR="00BA3E87">
        <w:rPr>
          <w:sz w:val="18"/>
          <w:szCs w:val="18"/>
        </w:rPr>
        <w:t xml:space="preserve">are reportedly less likely to leave than </w:t>
      </w:r>
      <w:r w:rsidR="00A27508">
        <w:rPr>
          <w:sz w:val="18"/>
          <w:szCs w:val="18"/>
        </w:rPr>
        <w:t>British employees</w:t>
      </w:r>
      <w:r>
        <w:rPr>
          <w:sz w:val="18"/>
          <w:szCs w:val="18"/>
        </w:rPr>
        <w:t xml:space="preserve">.  </w:t>
      </w:r>
    </w:p>
    <w:p w:rsidR="009964DD" w:rsidRPr="006C256B" w:rsidRDefault="00A35030" w:rsidP="009964DD">
      <w:pPr>
        <w:tabs>
          <w:tab w:val="num" w:pos="860"/>
          <w:tab w:val="num" w:pos="1105"/>
        </w:tabs>
        <w:spacing w:before="240" w:after="120" w:line="288" w:lineRule="auto"/>
        <w:jc w:val="both"/>
        <w:rPr>
          <w:rFonts w:ascii="Arial" w:hAnsi="Arial" w:cs="Arial"/>
          <w:b/>
          <w:i/>
          <w:color w:val="660066"/>
          <w:sz w:val="20"/>
          <w:szCs w:val="20"/>
        </w:rPr>
      </w:pPr>
      <w:r w:rsidRPr="006C256B">
        <w:rPr>
          <w:rFonts w:ascii="Arial" w:hAnsi="Arial" w:cs="Arial"/>
          <w:b/>
          <w:i/>
          <w:color w:val="660066"/>
          <w:sz w:val="20"/>
          <w:szCs w:val="20"/>
        </w:rPr>
        <w:t>O</w:t>
      </w:r>
      <w:r w:rsidR="009964DD" w:rsidRPr="006C256B">
        <w:rPr>
          <w:rFonts w:ascii="Arial" w:hAnsi="Arial" w:cs="Arial"/>
          <w:b/>
          <w:i/>
          <w:color w:val="660066"/>
          <w:sz w:val="20"/>
          <w:szCs w:val="20"/>
        </w:rPr>
        <w:t>pportunities in the Visitor Economy</w:t>
      </w:r>
      <w:r w:rsidRPr="006C256B">
        <w:rPr>
          <w:rFonts w:ascii="Arial" w:hAnsi="Arial" w:cs="Arial"/>
          <w:b/>
          <w:i/>
          <w:color w:val="660066"/>
          <w:sz w:val="20"/>
          <w:szCs w:val="20"/>
        </w:rPr>
        <w:t xml:space="preserve"> are undersold</w:t>
      </w:r>
    </w:p>
    <w:p w:rsidR="009964DD" w:rsidRDefault="00A35030" w:rsidP="009964DD">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One of the most </w:t>
      </w:r>
      <w:r w:rsidR="009964DD">
        <w:rPr>
          <w:sz w:val="18"/>
          <w:szCs w:val="18"/>
        </w:rPr>
        <w:t>consistent message</w:t>
      </w:r>
      <w:r>
        <w:rPr>
          <w:sz w:val="18"/>
          <w:szCs w:val="18"/>
        </w:rPr>
        <w:t>s</w:t>
      </w:r>
      <w:r w:rsidR="009964DD">
        <w:rPr>
          <w:sz w:val="18"/>
          <w:szCs w:val="18"/>
        </w:rPr>
        <w:t xml:space="preserve"> to emerge from the primary research undertaken for this study is that the full breath of the visitor economy</w:t>
      </w:r>
      <w:r>
        <w:rPr>
          <w:sz w:val="18"/>
          <w:szCs w:val="18"/>
        </w:rPr>
        <w:t xml:space="preserve"> and t</w:t>
      </w:r>
      <w:r w:rsidR="009964DD">
        <w:rPr>
          <w:sz w:val="18"/>
          <w:szCs w:val="18"/>
        </w:rPr>
        <w:t xml:space="preserve">he jobs and careers prospects </w:t>
      </w:r>
      <w:r>
        <w:rPr>
          <w:sz w:val="18"/>
          <w:szCs w:val="18"/>
        </w:rPr>
        <w:t>it</w:t>
      </w:r>
      <w:r w:rsidR="009964DD">
        <w:rPr>
          <w:sz w:val="18"/>
          <w:szCs w:val="18"/>
        </w:rPr>
        <w:t xml:space="preserve"> offers</w:t>
      </w:r>
      <w:r>
        <w:rPr>
          <w:sz w:val="18"/>
          <w:szCs w:val="18"/>
        </w:rPr>
        <w:t xml:space="preserve"> are </w:t>
      </w:r>
      <w:r w:rsidR="009964DD">
        <w:rPr>
          <w:sz w:val="18"/>
          <w:szCs w:val="18"/>
        </w:rPr>
        <w:t xml:space="preserve">not being accurately conveyed to young people, especially in schools.      </w:t>
      </w:r>
    </w:p>
    <w:p w:rsidR="009964DD" w:rsidRPr="006B427B" w:rsidRDefault="00C42C85" w:rsidP="000E4835">
      <w:pPr>
        <w:pStyle w:val="normalnumbered"/>
        <w:numPr>
          <w:ilvl w:val="1"/>
          <w:numId w:val="1"/>
        </w:numPr>
        <w:tabs>
          <w:tab w:val="clear" w:pos="2666"/>
          <w:tab w:val="num" w:pos="709"/>
        </w:tabs>
        <w:spacing w:line="264" w:lineRule="auto"/>
        <w:ind w:left="0" w:right="40" w:firstLine="0"/>
        <w:rPr>
          <w:sz w:val="18"/>
          <w:szCs w:val="18"/>
        </w:rPr>
      </w:pPr>
      <w:r w:rsidRPr="006B427B">
        <w:rPr>
          <w:sz w:val="18"/>
          <w:szCs w:val="18"/>
        </w:rPr>
        <w:t xml:space="preserve">Responsibility for careers guidance </w:t>
      </w:r>
      <w:r w:rsidR="00A35030" w:rsidRPr="006B427B">
        <w:rPr>
          <w:sz w:val="18"/>
          <w:szCs w:val="18"/>
        </w:rPr>
        <w:t xml:space="preserve">rests </w:t>
      </w:r>
      <w:r w:rsidRPr="006B427B">
        <w:rPr>
          <w:sz w:val="18"/>
          <w:szCs w:val="18"/>
        </w:rPr>
        <w:t xml:space="preserve">with schools but restrictions on resources and the demands of the national curriculum mean that it </w:t>
      </w:r>
      <w:r w:rsidR="006B427B" w:rsidRPr="006B427B">
        <w:rPr>
          <w:sz w:val="18"/>
          <w:szCs w:val="18"/>
        </w:rPr>
        <w:t>can assume</w:t>
      </w:r>
      <w:r w:rsidRPr="006B427B">
        <w:rPr>
          <w:sz w:val="18"/>
          <w:szCs w:val="18"/>
        </w:rPr>
        <w:t xml:space="preserve"> a lesser priority than it ideally should</w:t>
      </w:r>
      <w:r w:rsidR="00A35030" w:rsidRPr="006B427B">
        <w:rPr>
          <w:sz w:val="18"/>
          <w:szCs w:val="18"/>
        </w:rPr>
        <w:t>.  Employers consulted</w:t>
      </w:r>
      <w:r w:rsidR="0074166F">
        <w:rPr>
          <w:sz w:val="18"/>
          <w:szCs w:val="18"/>
        </w:rPr>
        <w:t xml:space="preserve"> for this study we</w:t>
      </w:r>
      <w:r w:rsidR="00A35030" w:rsidRPr="006B427B">
        <w:rPr>
          <w:sz w:val="18"/>
          <w:szCs w:val="18"/>
        </w:rPr>
        <w:t xml:space="preserve">re commonly of the view that </w:t>
      </w:r>
      <w:r w:rsidR="0074166F">
        <w:rPr>
          <w:sz w:val="18"/>
          <w:szCs w:val="18"/>
        </w:rPr>
        <w:t xml:space="preserve">the advice and guidance </w:t>
      </w:r>
      <w:r w:rsidR="00A35030" w:rsidRPr="006B427B">
        <w:rPr>
          <w:sz w:val="18"/>
          <w:szCs w:val="18"/>
        </w:rPr>
        <w:t xml:space="preserve">is not up to date </w:t>
      </w:r>
      <w:r w:rsidR="006B3EEB" w:rsidRPr="006B427B">
        <w:rPr>
          <w:sz w:val="18"/>
          <w:szCs w:val="18"/>
        </w:rPr>
        <w:t xml:space="preserve">and that it </w:t>
      </w:r>
      <w:r w:rsidR="006B3EEB" w:rsidRPr="006B427B">
        <w:rPr>
          <w:sz w:val="18"/>
          <w:szCs w:val="18"/>
        </w:rPr>
        <w:lastRenderedPageBreak/>
        <w:t xml:space="preserve">gives far too narrow a </w:t>
      </w:r>
      <w:r w:rsidR="006B427B" w:rsidRPr="006B427B">
        <w:rPr>
          <w:sz w:val="18"/>
          <w:szCs w:val="18"/>
        </w:rPr>
        <w:t xml:space="preserve">perspective of the opportunities and </w:t>
      </w:r>
      <w:r w:rsidR="006B427B" w:rsidRPr="0074166F">
        <w:rPr>
          <w:sz w:val="18"/>
          <w:szCs w:val="18"/>
        </w:rPr>
        <w:t xml:space="preserve">careers </w:t>
      </w:r>
      <w:r w:rsidR="006B427B" w:rsidRPr="006B427B">
        <w:rPr>
          <w:sz w:val="18"/>
          <w:szCs w:val="18"/>
        </w:rPr>
        <w:t>(as distinct from jobs)</w:t>
      </w:r>
      <w:r w:rsidR="0074166F">
        <w:rPr>
          <w:sz w:val="18"/>
          <w:szCs w:val="18"/>
        </w:rPr>
        <w:t xml:space="preserve"> that are available</w:t>
      </w:r>
      <w:r w:rsidR="006B3EEB" w:rsidRPr="006B427B">
        <w:rPr>
          <w:sz w:val="18"/>
          <w:szCs w:val="18"/>
        </w:rPr>
        <w:t>.</w:t>
      </w:r>
      <w:r w:rsidR="006B427B" w:rsidRPr="006B427B">
        <w:rPr>
          <w:sz w:val="18"/>
          <w:szCs w:val="18"/>
        </w:rPr>
        <w:t xml:space="preserve">  They spoke of a </w:t>
      </w:r>
      <w:r w:rsidR="00BA3E87">
        <w:rPr>
          <w:sz w:val="18"/>
          <w:szCs w:val="18"/>
        </w:rPr>
        <w:t>m</w:t>
      </w:r>
      <w:r w:rsidR="006B427B" w:rsidRPr="006B427B">
        <w:rPr>
          <w:sz w:val="18"/>
          <w:szCs w:val="18"/>
        </w:rPr>
        <w:t xml:space="preserve">isconception that </w:t>
      </w:r>
      <w:r w:rsidR="009964DD" w:rsidRPr="006B427B">
        <w:rPr>
          <w:rFonts w:cs="Arial"/>
          <w:sz w:val="18"/>
          <w:szCs w:val="18"/>
        </w:rPr>
        <w:t>job opportunities in the sector are wrongly, but nonetheless often, seen as being limited to waiting tables, kitchen work or seasonal employment.  The full array of roles (which cover marketing, management, finance and a host of other areas) is</w:t>
      </w:r>
      <w:r w:rsidR="006B427B">
        <w:rPr>
          <w:rFonts w:cs="Arial"/>
          <w:sz w:val="18"/>
          <w:szCs w:val="18"/>
        </w:rPr>
        <w:t xml:space="preserve"> </w:t>
      </w:r>
      <w:r w:rsidR="009964DD" w:rsidRPr="006B427B">
        <w:rPr>
          <w:rFonts w:cs="Arial"/>
          <w:sz w:val="18"/>
          <w:szCs w:val="18"/>
        </w:rPr>
        <w:t>rarely conveyed accurately.</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1"/>
      </w:tblGrid>
      <w:tr w:rsidR="006B427B" w:rsidRPr="00971220" w:rsidTr="000E4835">
        <w:tc>
          <w:tcPr>
            <w:tcW w:w="6521" w:type="dxa"/>
            <w:shd w:val="clear" w:color="auto" w:fill="B8CCE4" w:themeFill="accent1" w:themeFillTint="66"/>
          </w:tcPr>
          <w:p w:rsidR="006B427B" w:rsidRDefault="006B427B" w:rsidP="00A10E03">
            <w:pPr>
              <w:pStyle w:val="normalnumbered"/>
              <w:tabs>
                <w:tab w:val="clear" w:pos="2666"/>
              </w:tabs>
              <w:spacing w:after="60" w:line="264" w:lineRule="auto"/>
              <w:ind w:left="176" w:right="176" w:firstLine="0"/>
              <w:jc w:val="center"/>
              <w:rPr>
                <w:i/>
                <w:sz w:val="18"/>
                <w:szCs w:val="18"/>
              </w:rPr>
            </w:pPr>
            <w:r w:rsidRPr="006B427B">
              <w:rPr>
                <w:i/>
                <w:sz w:val="18"/>
                <w:szCs w:val="18"/>
              </w:rPr>
              <w:t>“</w:t>
            </w:r>
            <w:r>
              <w:rPr>
                <w:i/>
                <w:sz w:val="18"/>
                <w:szCs w:val="18"/>
              </w:rPr>
              <w:t>The message isn’t getting across that you can pursue all sorts of paths in hotels and catering.  It’s regarded as cooking and cleaning rooms, but there’s a world of opportunities out there.</w:t>
            </w:r>
            <w:r w:rsidRPr="009964DD">
              <w:rPr>
                <w:i/>
                <w:sz w:val="18"/>
                <w:szCs w:val="18"/>
              </w:rPr>
              <w:t>”</w:t>
            </w:r>
          </w:p>
          <w:p w:rsidR="00A10E03" w:rsidRPr="00A10E03" w:rsidRDefault="00A10E03" w:rsidP="00B62735">
            <w:pPr>
              <w:pStyle w:val="normalnumbered"/>
              <w:tabs>
                <w:tab w:val="clear" w:pos="2666"/>
              </w:tabs>
              <w:spacing w:before="0" w:after="120" w:line="264" w:lineRule="auto"/>
              <w:ind w:left="176" w:right="176" w:firstLine="0"/>
              <w:jc w:val="center"/>
              <w:rPr>
                <w:sz w:val="18"/>
                <w:szCs w:val="18"/>
              </w:rPr>
            </w:pPr>
            <w:r>
              <w:rPr>
                <w:sz w:val="18"/>
                <w:szCs w:val="18"/>
              </w:rPr>
              <w:t>Employer</w:t>
            </w:r>
          </w:p>
        </w:tc>
      </w:tr>
    </w:tbl>
    <w:p w:rsidR="006B427B" w:rsidRPr="00D14630" w:rsidRDefault="006B427B" w:rsidP="006B427B">
      <w:pPr>
        <w:pStyle w:val="normalnumbered"/>
        <w:tabs>
          <w:tab w:val="clear" w:pos="2666"/>
        </w:tabs>
        <w:spacing w:after="120" w:line="264" w:lineRule="auto"/>
        <w:ind w:left="0" w:right="40" w:firstLine="0"/>
        <w:rPr>
          <w:sz w:val="2"/>
          <w:szCs w:val="2"/>
        </w:rPr>
      </w:pPr>
    </w:p>
    <w:p w:rsidR="000A35D5" w:rsidRDefault="009964DD" w:rsidP="009964DD">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Employers </w:t>
      </w:r>
      <w:r w:rsidR="0074166F">
        <w:rPr>
          <w:sz w:val="18"/>
          <w:szCs w:val="18"/>
        </w:rPr>
        <w:t>believe</w:t>
      </w:r>
      <w:r>
        <w:rPr>
          <w:sz w:val="18"/>
          <w:szCs w:val="18"/>
        </w:rPr>
        <w:t xml:space="preserve"> that this has a considera</w:t>
      </w:r>
      <w:r w:rsidR="0074166F">
        <w:rPr>
          <w:sz w:val="18"/>
          <w:szCs w:val="18"/>
        </w:rPr>
        <w:t xml:space="preserve">ble bearing </w:t>
      </w:r>
      <w:r>
        <w:rPr>
          <w:sz w:val="18"/>
          <w:szCs w:val="18"/>
        </w:rPr>
        <w:t xml:space="preserve">on the volume </w:t>
      </w:r>
      <w:r w:rsidR="0074166F">
        <w:rPr>
          <w:sz w:val="18"/>
          <w:szCs w:val="18"/>
        </w:rPr>
        <w:t>(or lack) of</w:t>
      </w:r>
      <w:r>
        <w:rPr>
          <w:sz w:val="18"/>
          <w:szCs w:val="18"/>
        </w:rPr>
        <w:t xml:space="preserve"> job applications they receive</w:t>
      </w:r>
      <w:r w:rsidR="0074166F">
        <w:rPr>
          <w:sz w:val="18"/>
          <w:szCs w:val="18"/>
        </w:rPr>
        <w:t xml:space="preserve"> and the characteristics of the applicants</w:t>
      </w:r>
      <w:r>
        <w:rPr>
          <w:sz w:val="18"/>
          <w:szCs w:val="18"/>
        </w:rPr>
        <w:t xml:space="preserve">.  Many also see it as </w:t>
      </w:r>
      <w:r w:rsidR="0074166F">
        <w:rPr>
          <w:sz w:val="18"/>
          <w:szCs w:val="18"/>
        </w:rPr>
        <w:t xml:space="preserve">being amongst the </w:t>
      </w:r>
      <w:r>
        <w:rPr>
          <w:sz w:val="18"/>
          <w:szCs w:val="18"/>
        </w:rPr>
        <w:t>most significant issue</w:t>
      </w:r>
      <w:r w:rsidR="00BA3E87">
        <w:rPr>
          <w:sz w:val="18"/>
          <w:szCs w:val="18"/>
        </w:rPr>
        <w:t>s</w:t>
      </w:r>
      <w:r>
        <w:rPr>
          <w:sz w:val="18"/>
          <w:szCs w:val="18"/>
        </w:rPr>
        <w:t xml:space="preserve"> to be addressed if the supply of, and demand for,</w:t>
      </w:r>
      <w:r w:rsidR="0074166F">
        <w:rPr>
          <w:sz w:val="18"/>
          <w:szCs w:val="18"/>
        </w:rPr>
        <w:t xml:space="preserve"> skills in the visitor economy are</w:t>
      </w:r>
      <w:r>
        <w:rPr>
          <w:sz w:val="18"/>
          <w:szCs w:val="18"/>
        </w:rPr>
        <w:t xml:space="preserve"> to become better aligned. </w:t>
      </w:r>
    </w:p>
    <w:p w:rsidR="00CA7840" w:rsidRDefault="006B427B" w:rsidP="000E4835">
      <w:pPr>
        <w:pStyle w:val="normalnumbered"/>
        <w:numPr>
          <w:ilvl w:val="1"/>
          <w:numId w:val="1"/>
        </w:numPr>
        <w:tabs>
          <w:tab w:val="clear" w:pos="2666"/>
          <w:tab w:val="num" w:pos="709"/>
        </w:tabs>
        <w:spacing w:line="264" w:lineRule="auto"/>
        <w:ind w:left="0" w:right="40" w:firstLine="0"/>
        <w:rPr>
          <w:sz w:val="18"/>
          <w:szCs w:val="18"/>
        </w:rPr>
      </w:pPr>
      <w:r w:rsidRPr="00CA7840">
        <w:rPr>
          <w:sz w:val="18"/>
          <w:szCs w:val="18"/>
        </w:rPr>
        <w:t xml:space="preserve">Apprenticeships are also relevant here.  </w:t>
      </w:r>
      <w:r w:rsidR="00CA7840" w:rsidRPr="00CA7840">
        <w:rPr>
          <w:sz w:val="18"/>
          <w:szCs w:val="18"/>
        </w:rPr>
        <w:t xml:space="preserve">Following a steady year-on-year increase in Leisure, Travel and Tourism apprenticeships in Lancashire, a marked fall of more than 60% was recorded between 2011/12 and 2013/14. The number of starts across all frameworks combined in Lancashire also fell over this period but to a far lesser extent (-16%).  There are various reasons for this.  </w:t>
      </w:r>
      <w:r w:rsidR="00CA7840" w:rsidRPr="00CA7840">
        <w:rPr>
          <w:rFonts w:cs="Arial"/>
          <w:sz w:val="18"/>
          <w:szCs w:val="18"/>
        </w:rPr>
        <w:t xml:space="preserve">The Raising the Participation Age reforms, for example, have caused fewer young people </w:t>
      </w:r>
      <w:r w:rsidR="00CA7840">
        <w:rPr>
          <w:rFonts w:cs="Arial"/>
          <w:sz w:val="18"/>
          <w:szCs w:val="18"/>
        </w:rPr>
        <w:t>to choose</w:t>
      </w:r>
      <w:r w:rsidR="00CA7840" w:rsidRPr="00CA7840">
        <w:rPr>
          <w:rFonts w:cs="Arial"/>
          <w:sz w:val="18"/>
          <w:szCs w:val="18"/>
        </w:rPr>
        <w:t xml:space="preserve"> employment (full or part time) with training as their preferred post-16 destination.  The </w:t>
      </w:r>
      <w:r w:rsidR="00CA7840" w:rsidRPr="00CA7840">
        <w:rPr>
          <w:sz w:val="18"/>
          <w:szCs w:val="18"/>
        </w:rPr>
        <w:t xml:space="preserve">recession prevented many employers, including those operating in the visitor economy, from taking on (more) apprentices, and </w:t>
      </w:r>
      <w:r w:rsidR="002469E5">
        <w:rPr>
          <w:sz w:val="18"/>
          <w:szCs w:val="18"/>
        </w:rPr>
        <w:t>the proposed introduction of Advanced Learning Loans for Level 3+ provision for learners aged 24+ has also played a part</w:t>
      </w:r>
      <w:r w:rsidR="00CA7840" w:rsidRPr="00CA7840">
        <w:rPr>
          <w:sz w:val="18"/>
          <w:szCs w:val="18"/>
        </w:rPr>
        <w:t xml:space="preserve">.  </w:t>
      </w:r>
    </w:p>
    <w:p w:rsidR="00CA7840" w:rsidRPr="00CA7840" w:rsidRDefault="00CA7840" w:rsidP="000E4835">
      <w:pPr>
        <w:pStyle w:val="normalnumbered"/>
        <w:numPr>
          <w:ilvl w:val="1"/>
          <w:numId w:val="1"/>
        </w:numPr>
        <w:tabs>
          <w:tab w:val="clear" w:pos="2666"/>
          <w:tab w:val="num" w:pos="709"/>
        </w:tabs>
        <w:spacing w:line="264" w:lineRule="auto"/>
        <w:ind w:left="0" w:right="40" w:firstLine="0"/>
        <w:rPr>
          <w:sz w:val="18"/>
          <w:szCs w:val="18"/>
        </w:rPr>
      </w:pPr>
      <w:r w:rsidRPr="00CA7840">
        <w:rPr>
          <w:sz w:val="18"/>
          <w:szCs w:val="18"/>
        </w:rPr>
        <w:t xml:space="preserve">Research has also found that </w:t>
      </w:r>
      <w:r w:rsidRPr="00CA7840">
        <w:rPr>
          <w:rFonts w:cs="Arial"/>
          <w:sz w:val="18"/>
          <w:szCs w:val="18"/>
        </w:rPr>
        <w:t>that nearly two thirds of parents do not understand apprenticeships (in any sector) and the majority believe they are only available in manual jobs</w:t>
      </w:r>
      <w:r w:rsidRPr="00CA7840">
        <w:rPr>
          <w:rStyle w:val="FootnoteReference"/>
          <w:sz w:val="18"/>
          <w:szCs w:val="18"/>
        </w:rPr>
        <w:footnoteReference w:id="39"/>
      </w:r>
      <w:r w:rsidRPr="00CA7840">
        <w:rPr>
          <w:rFonts w:cs="Arial"/>
          <w:sz w:val="18"/>
          <w:szCs w:val="18"/>
        </w:rPr>
        <w:t xml:space="preserve">.  Research by City and Guilds has shown that young men are almost twice as likely to be advised to pursue an Apprenticeship as </w:t>
      </w:r>
      <w:r w:rsidRPr="00CA7840">
        <w:rPr>
          <w:rFonts w:cs="Arial"/>
          <w:sz w:val="18"/>
          <w:szCs w:val="18"/>
        </w:rPr>
        <w:lastRenderedPageBreak/>
        <w:t>young women</w:t>
      </w:r>
      <w:r w:rsidRPr="00CA7840">
        <w:rPr>
          <w:rStyle w:val="FootnoteReference"/>
          <w:sz w:val="18"/>
          <w:szCs w:val="18"/>
        </w:rPr>
        <w:footnoteReference w:id="40"/>
      </w:r>
      <w:r w:rsidRPr="00CA7840">
        <w:rPr>
          <w:rFonts w:cs="Arial"/>
          <w:sz w:val="18"/>
          <w:szCs w:val="18"/>
        </w:rPr>
        <w:t>, while the Sutton Trust found that 65% of teachers said they would rarely or never advise a high-achieving student to consider an Apprenticeship</w:t>
      </w:r>
      <w:r w:rsidRPr="00CA7840">
        <w:rPr>
          <w:rStyle w:val="FootnoteReference"/>
          <w:sz w:val="18"/>
          <w:szCs w:val="18"/>
        </w:rPr>
        <w:footnoteReference w:id="41"/>
      </w:r>
      <w:r w:rsidRPr="00CA7840">
        <w:rPr>
          <w:rFonts w:cs="Arial"/>
          <w:sz w:val="18"/>
          <w:szCs w:val="18"/>
        </w:rPr>
        <w:t>.</w:t>
      </w:r>
      <w:r w:rsidRPr="00CA7840">
        <w:rPr>
          <w:sz w:val="18"/>
          <w:szCs w:val="18"/>
        </w:rPr>
        <w:t xml:space="preserve"> </w:t>
      </w:r>
    </w:p>
    <w:p w:rsidR="00CA7840" w:rsidRDefault="0074166F" w:rsidP="000E4835">
      <w:pPr>
        <w:pStyle w:val="normalnumbered"/>
        <w:numPr>
          <w:ilvl w:val="1"/>
          <w:numId w:val="1"/>
        </w:numPr>
        <w:tabs>
          <w:tab w:val="clear" w:pos="2666"/>
          <w:tab w:val="num" w:pos="709"/>
        </w:tabs>
        <w:spacing w:line="264" w:lineRule="auto"/>
        <w:ind w:left="0" w:right="40" w:firstLine="0"/>
        <w:rPr>
          <w:sz w:val="18"/>
          <w:szCs w:val="18"/>
        </w:rPr>
      </w:pPr>
      <w:r>
        <w:rPr>
          <w:sz w:val="18"/>
          <w:szCs w:val="18"/>
        </w:rPr>
        <w:t>Visitor economy e</w:t>
      </w:r>
      <w:r w:rsidR="00CA7840">
        <w:rPr>
          <w:sz w:val="18"/>
          <w:szCs w:val="18"/>
        </w:rPr>
        <w:t>mployers</w:t>
      </w:r>
      <w:r>
        <w:rPr>
          <w:sz w:val="18"/>
          <w:szCs w:val="18"/>
        </w:rPr>
        <w:t xml:space="preserve"> in Lancashire</w:t>
      </w:r>
      <w:r w:rsidR="00CA7840">
        <w:rPr>
          <w:sz w:val="18"/>
          <w:szCs w:val="18"/>
        </w:rPr>
        <w:t xml:space="preserve">, including large employers, see these as very significant </w:t>
      </w:r>
      <w:r>
        <w:rPr>
          <w:sz w:val="18"/>
          <w:szCs w:val="18"/>
        </w:rPr>
        <w:t>problems</w:t>
      </w:r>
      <w:r w:rsidR="00CA7840">
        <w:rPr>
          <w:sz w:val="18"/>
          <w:szCs w:val="18"/>
        </w:rPr>
        <w:t xml:space="preserve">.  Those consulted for this study regularly spoke of difficulties in finding suitable candidates for their apprenticeship vacancies.  Some have </w:t>
      </w:r>
      <w:r w:rsidR="00C84592">
        <w:rPr>
          <w:sz w:val="18"/>
          <w:szCs w:val="18"/>
        </w:rPr>
        <w:t>disengaged</w:t>
      </w:r>
      <w:r w:rsidR="00CA7840">
        <w:rPr>
          <w:sz w:val="18"/>
          <w:szCs w:val="18"/>
        </w:rPr>
        <w:t xml:space="preserve"> from apprenticeship</w:t>
      </w:r>
      <w:r w:rsidR="00BA3E87">
        <w:rPr>
          <w:sz w:val="18"/>
          <w:szCs w:val="18"/>
        </w:rPr>
        <w:t xml:space="preserve">s completely </w:t>
      </w:r>
      <w:r w:rsidR="00CA7840">
        <w:rPr>
          <w:sz w:val="18"/>
          <w:szCs w:val="18"/>
        </w:rPr>
        <w:t>as a result</w:t>
      </w:r>
      <w:r w:rsidR="00B84DF0">
        <w:rPr>
          <w:sz w:val="18"/>
          <w:szCs w:val="18"/>
        </w:rPr>
        <w:t xml:space="preserve"> and are trying instead to develop </w:t>
      </w:r>
      <w:r w:rsidR="00C84592">
        <w:rPr>
          <w:sz w:val="18"/>
          <w:szCs w:val="18"/>
        </w:rPr>
        <w:t>t</w:t>
      </w:r>
      <w:r w:rsidR="00B84DF0">
        <w:rPr>
          <w:sz w:val="18"/>
          <w:szCs w:val="18"/>
        </w:rPr>
        <w:t xml:space="preserve">heir </w:t>
      </w:r>
      <w:r w:rsidR="00BA3E87">
        <w:rPr>
          <w:sz w:val="18"/>
          <w:szCs w:val="18"/>
        </w:rPr>
        <w:t xml:space="preserve">future </w:t>
      </w:r>
      <w:r w:rsidR="00B84DF0">
        <w:rPr>
          <w:sz w:val="18"/>
          <w:szCs w:val="18"/>
        </w:rPr>
        <w:t xml:space="preserve">workforce through work experience </w:t>
      </w:r>
      <w:r w:rsidR="00BA3E87">
        <w:rPr>
          <w:sz w:val="18"/>
          <w:szCs w:val="18"/>
        </w:rPr>
        <w:t xml:space="preserve">and placement </w:t>
      </w:r>
      <w:r w:rsidR="00B84DF0">
        <w:rPr>
          <w:sz w:val="18"/>
          <w:szCs w:val="18"/>
        </w:rPr>
        <w:t>schemes</w:t>
      </w:r>
      <w:r w:rsidR="00CA7840">
        <w:rPr>
          <w:sz w:val="18"/>
          <w:szCs w:val="18"/>
        </w:rPr>
        <w:t xml:space="preserve">.  Others need apprentices to help address the issue of an ageing workforce but </w:t>
      </w:r>
      <w:r w:rsidR="00020B47">
        <w:rPr>
          <w:sz w:val="18"/>
          <w:szCs w:val="18"/>
        </w:rPr>
        <w:t xml:space="preserve">very few, it would seem, receive </w:t>
      </w:r>
      <w:r w:rsidR="00BA3E87">
        <w:rPr>
          <w:sz w:val="18"/>
          <w:szCs w:val="18"/>
        </w:rPr>
        <w:t xml:space="preserve">enough </w:t>
      </w:r>
      <w:r w:rsidR="00020B47">
        <w:rPr>
          <w:sz w:val="18"/>
          <w:szCs w:val="18"/>
        </w:rPr>
        <w:t xml:space="preserve">applications from young people with </w:t>
      </w:r>
      <w:r w:rsidR="00BA3E87">
        <w:rPr>
          <w:sz w:val="18"/>
          <w:szCs w:val="18"/>
        </w:rPr>
        <w:t>the</w:t>
      </w:r>
      <w:r w:rsidR="00020B47">
        <w:rPr>
          <w:sz w:val="18"/>
          <w:szCs w:val="18"/>
        </w:rPr>
        <w:t xml:space="preserve"> skills and attributes </w:t>
      </w:r>
      <w:r w:rsidR="00BA3E87">
        <w:rPr>
          <w:sz w:val="18"/>
          <w:szCs w:val="18"/>
        </w:rPr>
        <w:t xml:space="preserve">they require </w:t>
      </w:r>
      <w:r w:rsidR="00020B47">
        <w:rPr>
          <w:sz w:val="18"/>
          <w:szCs w:val="18"/>
        </w:rPr>
        <w:t>(note that quot</w:t>
      </w:r>
      <w:r w:rsidR="00BA3E87">
        <w:rPr>
          <w:sz w:val="18"/>
          <w:szCs w:val="18"/>
        </w:rPr>
        <w:t>e</w:t>
      </w:r>
      <w:r w:rsidR="00020B47">
        <w:rPr>
          <w:sz w:val="18"/>
          <w:szCs w:val="18"/>
        </w:rPr>
        <w:t xml:space="preserve"> </w:t>
      </w:r>
      <w:r w:rsidR="00C84592">
        <w:rPr>
          <w:sz w:val="18"/>
          <w:szCs w:val="18"/>
        </w:rPr>
        <w:t>below</w:t>
      </w:r>
      <w:r w:rsidR="00020B47">
        <w:rPr>
          <w:sz w:val="18"/>
          <w:szCs w:val="18"/>
        </w:rPr>
        <w:t xml:space="preserve"> comes from one of the county’s </w:t>
      </w:r>
      <w:r w:rsidR="00C84592">
        <w:rPr>
          <w:sz w:val="18"/>
          <w:szCs w:val="18"/>
        </w:rPr>
        <w:t xml:space="preserve">larger </w:t>
      </w:r>
      <w:r w:rsidR="00020B47">
        <w:rPr>
          <w:sz w:val="18"/>
          <w:szCs w:val="18"/>
        </w:rPr>
        <w:t xml:space="preserve">visitor economy employers).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1"/>
      </w:tblGrid>
      <w:tr w:rsidR="00020B47" w:rsidRPr="00971220" w:rsidTr="000E4835">
        <w:tc>
          <w:tcPr>
            <w:tcW w:w="6521" w:type="dxa"/>
            <w:shd w:val="clear" w:color="auto" w:fill="B8CCE4" w:themeFill="accent1" w:themeFillTint="66"/>
          </w:tcPr>
          <w:p w:rsidR="00B62735" w:rsidRPr="00B62735" w:rsidRDefault="00020B47" w:rsidP="00B62735">
            <w:pPr>
              <w:pStyle w:val="normalnumbered"/>
              <w:tabs>
                <w:tab w:val="clear" w:pos="2666"/>
              </w:tabs>
              <w:spacing w:after="60" w:line="264" w:lineRule="auto"/>
              <w:ind w:left="176" w:right="176" w:firstLine="0"/>
              <w:jc w:val="center"/>
              <w:rPr>
                <w:i/>
                <w:sz w:val="18"/>
                <w:szCs w:val="18"/>
              </w:rPr>
            </w:pPr>
            <w:r w:rsidRPr="00B62735">
              <w:rPr>
                <w:i/>
                <w:sz w:val="18"/>
                <w:szCs w:val="18"/>
              </w:rPr>
              <w:t>“We advertised a vacancy for an apprentice engineer in October 2014….I’m doing the first interview next week [June 2015].  There has been such little interest.”</w:t>
            </w:r>
          </w:p>
          <w:p w:rsidR="00020B47" w:rsidRPr="00B62735" w:rsidRDefault="00020B47" w:rsidP="00B62735">
            <w:pPr>
              <w:pStyle w:val="normalnumbered"/>
              <w:tabs>
                <w:tab w:val="clear" w:pos="2666"/>
              </w:tabs>
              <w:spacing w:before="0" w:after="120" w:line="264" w:lineRule="auto"/>
              <w:ind w:left="176" w:right="176" w:firstLine="0"/>
              <w:jc w:val="center"/>
              <w:rPr>
                <w:i/>
                <w:sz w:val="18"/>
                <w:szCs w:val="18"/>
              </w:rPr>
            </w:pPr>
            <w:r w:rsidRPr="00B62735">
              <w:rPr>
                <w:sz w:val="18"/>
                <w:szCs w:val="18"/>
              </w:rPr>
              <w:t xml:space="preserve">Employer </w:t>
            </w:r>
            <w:r w:rsidR="000115C9" w:rsidRPr="00B62735">
              <w:rPr>
                <w:sz w:val="18"/>
                <w:szCs w:val="18"/>
              </w:rPr>
              <w:t xml:space="preserve"> </w:t>
            </w:r>
          </w:p>
        </w:tc>
      </w:tr>
    </w:tbl>
    <w:p w:rsidR="00020B47" w:rsidRPr="00D14630" w:rsidRDefault="00020B47" w:rsidP="00020B47">
      <w:pPr>
        <w:pStyle w:val="normalnumbered"/>
        <w:tabs>
          <w:tab w:val="clear" w:pos="2666"/>
        </w:tabs>
        <w:spacing w:after="120" w:line="264" w:lineRule="auto"/>
        <w:ind w:left="0" w:right="40" w:firstLine="0"/>
        <w:rPr>
          <w:sz w:val="2"/>
          <w:szCs w:val="2"/>
        </w:rPr>
      </w:pPr>
    </w:p>
    <w:p w:rsidR="00B84DF0" w:rsidRDefault="00020B47" w:rsidP="000E4835">
      <w:pPr>
        <w:pStyle w:val="normalnumbered"/>
        <w:numPr>
          <w:ilvl w:val="1"/>
          <w:numId w:val="1"/>
        </w:numPr>
        <w:tabs>
          <w:tab w:val="clear" w:pos="2666"/>
          <w:tab w:val="num" w:pos="709"/>
        </w:tabs>
        <w:spacing w:line="264" w:lineRule="auto"/>
        <w:ind w:left="0" w:right="40" w:firstLine="0"/>
        <w:rPr>
          <w:sz w:val="18"/>
          <w:szCs w:val="18"/>
        </w:rPr>
      </w:pPr>
      <w:r w:rsidRPr="00B84DF0">
        <w:rPr>
          <w:sz w:val="18"/>
          <w:szCs w:val="18"/>
        </w:rPr>
        <w:t xml:space="preserve">There is also the issue of </w:t>
      </w:r>
      <w:r w:rsidR="00C84592">
        <w:rPr>
          <w:sz w:val="18"/>
          <w:szCs w:val="18"/>
        </w:rPr>
        <w:t xml:space="preserve">apprentice </w:t>
      </w:r>
      <w:r w:rsidRPr="00B84DF0">
        <w:rPr>
          <w:sz w:val="18"/>
          <w:szCs w:val="18"/>
        </w:rPr>
        <w:t xml:space="preserve">retention.  </w:t>
      </w:r>
      <w:r w:rsidR="00B84DF0" w:rsidRPr="00B84DF0">
        <w:rPr>
          <w:sz w:val="18"/>
          <w:szCs w:val="18"/>
        </w:rPr>
        <w:t xml:space="preserve">Hoteliers consulted for the study reported that apprentices will often work at the business for a </w:t>
      </w:r>
      <w:r w:rsidR="00CD1713">
        <w:rPr>
          <w:sz w:val="18"/>
          <w:szCs w:val="18"/>
        </w:rPr>
        <w:t>few</w:t>
      </w:r>
      <w:r w:rsidR="00B84DF0" w:rsidRPr="00B84DF0">
        <w:rPr>
          <w:sz w:val="18"/>
          <w:szCs w:val="18"/>
        </w:rPr>
        <w:t xml:space="preserve"> weeks, but will </w:t>
      </w:r>
      <w:r w:rsidR="00CD1713">
        <w:rPr>
          <w:sz w:val="18"/>
          <w:szCs w:val="18"/>
        </w:rPr>
        <w:t xml:space="preserve">soon leave having </w:t>
      </w:r>
      <w:r w:rsidR="00B84DF0" w:rsidRPr="00B84DF0">
        <w:rPr>
          <w:sz w:val="18"/>
          <w:szCs w:val="18"/>
        </w:rPr>
        <w:t xml:space="preserve">become disillusioned by weekend and evening working.  </w:t>
      </w:r>
      <w:r w:rsidR="00CD1713">
        <w:rPr>
          <w:sz w:val="18"/>
          <w:szCs w:val="18"/>
        </w:rPr>
        <w:t xml:space="preserve">The low minimum wage for apprentices (£2.73 per hour at the time of writing) also influences retention, although </w:t>
      </w:r>
      <w:r w:rsidR="00B84DF0" w:rsidRPr="00B84DF0">
        <w:rPr>
          <w:sz w:val="18"/>
          <w:szCs w:val="18"/>
        </w:rPr>
        <w:t>the same problems were reported by employers who pay the adult minimum wage</w:t>
      </w:r>
      <w:r w:rsidR="00CD1713">
        <w:rPr>
          <w:sz w:val="18"/>
          <w:szCs w:val="18"/>
        </w:rPr>
        <w:t xml:space="preserve">.  </w:t>
      </w:r>
    </w:p>
    <w:p w:rsidR="00B84DF0" w:rsidRDefault="00B84DF0" w:rsidP="000E4835">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Given the </w:t>
      </w:r>
      <w:r w:rsidR="00CD1713">
        <w:rPr>
          <w:sz w:val="18"/>
          <w:szCs w:val="18"/>
        </w:rPr>
        <w:t>well documented</w:t>
      </w:r>
      <w:r>
        <w:rPr>
          <w:sz w:val="18"/>
          <w:szCs w:val="18"/>
        </w:rPr>
        <w:t xml:space="preserve"> commercial and economic benefits of apprenticeships, the policy priority that has already been attached</w:t>
      </w:r>
      <w:r w:rsidR="00CD1713">
        <w:rPr>
          <w:sz w:val="18"/>
          <w:szCs w:val="18"/>
        </w:rPr>
        <w:t xml:space="preserve"> to them by the new Government </w:t>
      </w:r>
      <w:r>
        <w:rPr>
          <w:sz w:val="18"/>
          <w:szCs w:val="18"/>
        </w:rPr>
        <w:t xml:space="preserve">and the frustration that is evident amongst Lancashire’s visitor economy employers, it is important that action be taken.  Chapter </w:t>
      </w:r>
      <w:r w:rsidR="007E1190">
        <w:rPr>
          <w:sz w:val="18"/>
          <w:szCs w:val="18"/>
        </w:rPr>
        <w:t>Seven</w:t>
      </w:r>
      <w:r w:rsidR="00BA3E87">
        <w:rPr>
          <w:sz w:val="18"/>
          <w:szCs w:val="18"/>
        </w:rPr>
        <w:t xml:space="preserve"> </w:t>
      </w:r>
      <w:r>
        <w:rPr>
          <w:sz w:val="18"/>
          <w:szCs w:val="18"/>
        </w:rPr>
        <w:t xml:space="preserve">therefore advocates that apprenticeships feature as a core theme within a new Visitor Economy Ambassador Programme and that </w:t>
      </w:r>
      <w:r w:rsidR="00FB00B9">
        <w:rPr>
          <w:sz w:val="18"/>
          <w:szCs w:val="18"/>
        </w:rPr>
        <w:t xml:space="preserve">options be explored </w:t>
      </w:r>
      <w:r w:rsidR="00CD1713">
        <w:rPr>
          <w:sz w:val="18"/>
          <w:szCs w:val="18"/>
        </w:rPr>
        <w:t xml:space="preserve">to </w:t>
      </w:r>
      <w:r w:rsidR="00FB00B9">
        <w:rPr>
          <w:sz w:val="18"/>
          <w:szCs w:val="18"/>
        </w:rPr>
        <w:t>increas</w:t>
      </w:r>
      <w:r w:rsidR="00CD1713">
        <w:rPr>
          <w:sz w:val="18"/>
          <w:szCs w:val="18"/>
        </w:rPr>
        <w:t xml:space="preserve">e </w:t>
      </w:r>
      <w:r w:rsidR="00FB00B9">
        <w:rPr>
          <w:sz w:val="18"/>
          <w:szCs w:val="18"/>
        </w:rPr>
        <w:t xml:space="preserve">the </w:t>
      </w:r>
      <w:r w:rsidR="00FB00B9">
        <w:rPr>
          <w:sz w:val="18"/>
          <w:szCs w:val="18"/>
        </w:rPr>
        <w:lastRenderedPageBreak/>
        <w:t>number of employers participating in Traineeships (</w:t>
      </w:r>
      <w:r w:rsidR="00387466">
        <w:rPr>
          <w:sz w:val="18"/>
          <w:szCs w:val="18"/>
        </w:rPr>
        <w:t xml:space="preserve">for some young people </w:t>
      </w:r>
      <w:r w:rsidR="00FB00B9">
        <w:rPr>
          <w:sz w:val="18"/>
          <w:szCs w:val="18"/>
        </w:rPr>
        <w:t xml:space="preserve">a natural stepping stone to an apprenticeship). </w:t>
      </w:r>
    </w:p>
    <w:p w:rsidR="009964DD" w:rsidRPr="006C256B" w:rsidRDefault="007A1355" w:rsidP="009964DD">
      <w:pPr>
        <w:tabs>
          <w:tab w:val="num" w:pos="860"/>
          <w:tab w:val="num" w:pos="1105"/>
        </w:tabs>
        <w:spacing w:before="240" w:after="120" w:line="288" w:lineRule="auto"/>
        <w:jc w:val="both"/>
        <w:rPr>
          <w:rFonts w:ascii="Arial" w:hAnsi="Arial" w:cs="Arial"/>
          <w:b/>
          <w:i/>
          <w:color w:val="660066"/>
          <w:sz w:val="20"/>
          <w:szCs w:val="20"/>
        </w:rPr>
      </w:pPr>
      <w:r w:rsidRPr="006C256B">
        <w:rPr>
          <w:rFonts w:ascii="Arial" w:hAnsi="Arial" w:cs="Arial"/>
          <w:b/>
          <w:i/>
          <w:color w:val="660066"/>
          <w:sz w:val="20"/>
          <w:szCs w:val="20"/>
        </w:rPr>
        <w:t>Negative p</w:t>
      </w:r>
      <w:r w:rsidR="009964DD" w:rsidRPr="006C256B">
        <w:rPr>
          <w:rFonts w:ascii="Arial" w:hAnsi="Arial" w:cs="Arial"/>
          <w:b/>
          <w:i/>
          <w:color w:val="660066"/>
          <w:sz w:val="20"/>
          <w:szCs w:val="20"/>
        </w:rPr>
        <w:t xml:space="preserve">erceptions </w:t>
      </w:r>
      <w:r w:rsidRPr="006C256B">
        <w:rPr>
          <w:rFonts w:ascii="Arial" w:hAnsi="Arial" w:cs="Arial"/>
          <w:b/>
          <w:i/>
          <w:color w:val="660066"/>
          <w:sz w:val="20"/>
          <w:szCs w:val="20"/>
        </w:rPr>
        <w:t>exist of jobs in the visitor economy</w:t>
      </w:r>
    </w:p>
    <w:p w:rsidR="00C42C85" w:rsidRDefault="00220554" w:rsidP="00FD1D2A">
      <w:pPr>
        <w:pStyle w:val="normalnumbered"/>
        <w:numPr>
          <w:ilvl w:val="1"/>
          <w:numId w:val="1"/>
        </w:numPr>
        <w:tabs>
          <w:tab w:val="clear" w:pos="2666"/>
          <w:tab w:val="num" w:pos="709"/>
        </w:tabs>
        <w:spacing w:line="264" w:lineRule="auto"/>
        <w:ind w:left="0" w:right="40" w:firstLine="0"/>
        <w:rPr>
          <w:sz w:val="18"/>
          <w:szCs w:val="18"/>
        </w:rPr>
      </w:pPr>
      <w:r>
        <w:rPr>
          <w:sz w:val="18"/>
          <w:szCs w:val="18"/>
        </w:rPr>
        <w:t>J</w:t>
      </w:r>
      <w:r w:rsidR="009964DD">
        <w:rPr>
          <w:sz w:val="18"/>
          <w:szCs w:val="18"/>
        </w:rPr>
        <w:t xml:space="preserve">obs in the visitor economy </w:t>
      </w:r>
      <w:r w:rsidR="005F5AC7">
        <w:rPr>
          <w:sz w:val="18"/>
          <w:szCs w:val="18"/>
        </w:rPr>
        <w:t xml:space="preserve">are often, if wrongly, </w:t>
      </w:r>
      <w:r w:rsidR="009964DD">
        <w:rPr>
          <w:sz w:val="18"/>
          <w:szCs w:val="18"/>
        </w:rPr>
        <w:t>labelled</w:t>
      </w:r>
      <w:r w:rsidR="005F5AC7">
        <w:rPr>
          <w:sz w:val="18"/>
          <w:szCs w:val="18"/>
        </w:rPr>
        <w:t xml:space="preserve"> </w:t>
      </w:r>
      <w:r w:rsidR="009964DD">
        <w:rPr>
          <w:sz w:val="18"/>
          <w:szCs w:val="18"/>
        </w:rPr>
        <w:t xml:space="preserve">as ‘second best’. There are </w:t>
      </w:r>
      <w:r w:rsidR="005F5AC7">
        <w:rPr>
          <w:sz w:val="18"/>
          <w:szCs w:val="18"/>
        </w:rPr>
        <w:t xml:space="preserve">various </w:t>
      </w:r>
      <w:r w:rsidR="009964DD">
        <w:rPr>
          <w:sz w:val="18"/>
          <w:szCs w:val="18"/>
        </w:rPr>
        <w:t>rea</w:t>
      </w:r>
      <w:r w:rsidR="005F5AC7">
        <w:rPr>
          <w:sz w:val="18"/>
          <w:szCs w:val="18"/>
        </w:rPr>
        <w:t xml:space="preserve">sons for this, ranging from attitudes (nationally) </w:t>
      </w:r>
      <w:r w:rsidR="009964DD">
        <w:rPr>
          <w:sz w:val="18"/>
          <w:szCs w:val="18"/>
        </w:rPr>
        <w:t xml:space="preserve">towards service sector employment to the undeniable issue of low average pay, but to </w:t>
      </w:r>
      <w:r w:rsidR="00FD1D2A">
        <w:rPr>
          <w:sz w:val="18"/>
          <w:szCs w:val="18"/>
        </w:rPr>
        <w:t xml:space="preserve">bracket all employment in the sector together in this regard is </w:t>
      </w:r>
      <w:r>
        <w:rPr>
          <w:sz w:val="18"/>
          <w:szCs w:val="18"/>
        </w:rPr>
        <w:t xml:space="preserve">both inaccurate and very </w:t>
      </w:r>
      <w:r w:rsidR="009964DD">
        <w:rPr>
          <w:sz w:val="18"/>
          <w:szCs w:val="18"/>
        </w:rPr>
        <w:t>frustrating for employers.</w:t>
      </w:r>
      <w:r w:rsidR="00C42C85">
        <w:rPr>
          <w:sz w:val="18"/>
          <w:szCs w:val="18"/>
        </w:rPr>
        <w:t xml:space="preserve"> </w:t>
      </w:r>
      <w:r w:rsidR="00FD1D2A">
        <w:rPr>
          <w:sz w:val="18"/>
          <w:szCs w:val="18"/>
        </w:rPr>
        <w:t xml:space="preserve"> </w:t>
      </w:r>
    </w:p>
    <w:p w:rsidR="00326502" w:rsidRDefault="00326502" w:rsidP="00FD1D2A">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 available data on young people’s job choices would seem to highlight the problem.  In mid-May 2015, there were 1,786 young people in Lancashire’s NEET (not in education, employment or training) cohort, only 126 of whom (7%) had expressed an interest in working in the sector.  And across the cohort of young people aged 15-17 in full time education in Lancashire, only 4% of those with a recorded job preference had identified a job in the visitor economy. </w:t>
      </w:r>
    </w:p>
    <w:p w:rsidR="00C42C85" w:rsidRDefault="00C42C85" w:rsidP="00C42C85">
      <w:pPr>
        <w:pStyle w:val="normalnumbered"/>
        <w:numPr>
          <w:ilvl w:val="1"/>
          <w:numId w:val="1"/>
        </w:numPr>
        <w:tabs>
          <w:tab w:val="clear" w:pos="2666"/>
          <w:tab w:val="num" w:pos="709"/>
        </w:tabs>
        <w:spacing w:line="264" w:lineRule="auto"/>
        <w:ind w:left="0" w:right="40" w:firstLine="0"/>
        <w:rPr>
          <w:sz w:val="18"/>
          <w:szCs w:val="18"/>
        </w:rPr>
      </w:pPr>
      <w:r w:rsidRPr="00C42C85">
        <w:rPr>
          <w:sz w:val="18"/>
          <w:szCs w:val="18"/>
        </w:rPr>
        <w:t xml:space="preserve">The suggestion that customer facing roles in the sector </w:t>
      </w:r>
      <w:r w:rsidR="00220554">
        <w:rPr>
          <w:sz w:val="18"/>
          <w:szCs w:val="18"/>
        </w:rPr>
        <w:t>require only very basic skills is</w:t>
      </w:r>
      <w:r w:rsidRPr="00C42C85">
        <w:rPr>
          <w:sz w:val="18"/>
          <w:szCs w:val="18"/>
        </w:rPr>
        <w:t xml:space="preserve"> also misplaced.  </w:t>
      </w:r>
      <w:r w:rsidR="009964DD" w:rsidRPr="00C42C85">
        <w:rPr>
          <w:sz w:val="18"/>
          <w:szCs w:val="18"/>
        </w:rPr>
        <w:t xml:space="preserve"> </w:t>
      </w:r>
      <w:r w:rsidRPr="00C42C85">
        <w:rPr>
          <w:sz w:val="18"/>
          <w:szCs w:val="18"/>
        </w:rPr>
        <w:t>Front of house staff</w:t>
      </w:r>
      <w:r w:rsidR="00FD1D2A">
        <w:rPr>
          <w:sz w:val="18"/>
          <w:szCs w:val="18"/>
        </w:rPr>
        <w:t xml:space="preserve"> in hotels</w:t>
      </w:r>
      <w:r w:rsidRPr="00C42C85">
        <w:rPr>
          <w:sz w:val="18"/>
          <w:szCs w:val="18"/>
        </w:rPr>
        <w:t>, for example, require day-to-day working knowledge and practical ICT user skills for the particular technology used in their business. They may need to know how to access Wi-Fi systems, troubleshoot problems guests may have with technology and carry out simple maintenance activities such as restarting.  Many kitchen roles also require general IT user skills to carry out stock taking, ordering, menu planning as well as using HR and e-learning systems as part of their development.</w:t>
      </w:r>
    </w:p>
    <w:p w:rsidR="009964DD" w:rsidRPr="00220554" w:rsidRDefault="00C42C85" w:rsidP="003A0984">
      <w:pPr>
        <w:pStyle w:val="normalnumbered"/>
        <w:numPr>
          <w:ilvl w:val="1"/>
          <w:numId w:val="1"/>
        </w:numPr>
        <w:tabs>
          <w:tab w:val="clear" w:pos="2666"/>
          <w:tab w:val="num" w:pos="709"/>
        </w:tabs>
        <w:spacing w:line="264" w:lineRule="auto"/>
        <w:ind w:left="0" w:right="40" w:firstLine="0"/>
        <w:rPr>
          <w:sz w:val="18"/>
          <w:szCs w:val="18"/>
        </w:rPr>
      </w:pPr>
      <w:r w:rsidRPr="00220554">
        <w:rPr>
          <w:sz w:val="18"/>
          <w:szCs w:val="18"/>
        </w:rPr>
        <w:t>A consistent theme in the feedback from employers is that th</w:t>
      </w:r>
      <w:r w:rsidR="00326502">
        <w:rPr>
          <w:sz w:val="18"/>
          <w:szCs w:val="18"/>
        </w:rPr>
        <w:t xml:space="preserve">ese </w:t>
      </w:r>
      <w:r w:rsidRPr="00220554">
        <w:rPr>
          <w:sz w:val="18"/>
          <w:szCs w:val="18"/>
        </w:rPr>
        <w:t>message</w:t>
      </w:r>
      <w:r w:rsidR="00326502">
        <w:rPr>
          <w:sz w:val="18"/>
          <w:szCs w:val="18"/>
        </w:rPr>
        <w:t xml:space="preserve">s aren’t </w:t>
      </w:r>
      <w:r w:rsidRPr="00220554">
        <w:rPr>
          <w:sz w:val="18"/>
          <w:szCs w:val="18"/>
        </w:rPr>
        <w:t>being adequately conveyed</w:t>
      </w:r>
      <w:r w:rsidR="00220554" w:rsidRPr="00220554">
        <w:rPr>
          <w:sz w:val="18"/>
          <w:szCs w:val="18"/>
        </w:rPr>
        <w:t xml:space="preserve"> to young people in schools.  </w:t>
      </w:r>
      <w:r w:rsidR="009964DD" w:rsidRPr="00220554">
        <w:rPr>
          <w:sz w:val="18"/>
          <w:szCs w:val="18"/>
        </w:rPr>
        <w:t xml:space="preserve">Consequently </w:t>
      </w:r>
      <w:r w:rsidR="00220554">
        <w:rPr>
          <w:sz w:val="18"/>
          <w:szCs w:val="18"/>
        </w:rPr>
        <w:t xml:space="preserve">it is a topic that is revisited in the actions in Chapter </w:t>
      </w:r>
      <w:r w:rsidR="007E1190">
        <w:rPr>
          <w:sz w:val="18"/>
          <w:szCs w:val="18"/>
        </w:rPr>
        <w:t>Seven</w:t>
      </w:r>
      <w:r w:rsidR="00220554">
        <w:rPr>
          <w:sz w:val="18"/>
          <w:szCs w:val="18"/>
        </w:rPr>
        <w:t xml:space="preserve">.  </w:t>
      </w:r>
    </w:p>
    <w:p w:rsidR="009964DD" w:rsidRPr="006C256B" w:rsidRDefault="00FD1D2A" w:rsidP="009964DD">
      <w:pPr>
        <w:tabs>
          <w:tab w:val="num" w:pos="860"/>
          <w:tab w:val="num" w:pos="1105"/>
        </w:tabs>
        <w:spacing w:before="240" w:after="120" w:line="288" w:lineRule="auto"/>
        <w:jc w:val="both"/>
        <w:rPr>
          <w:rFonts w:ascii="Arial" w:hAnsi="Arial" w:cs="Arial"/>
          <w:b/>
          <w:i/>
          <w:color w:val="660066"/>
          <w:sz w:val="20"/>
          <w:szCs w:val="20"/>
        </w:rPr>
      </w:pPr>
      <w:r w:rsidRPr="006C256B">
        <w:rPr>
          <w:rFonts w:ascii="Arial" w:hAnsi="Arial" w:cs="Arial"/>
          <w:b/>
          <w:i/>
          <w:color w:val="660066"/>
          <w:sz w:val="20"/>
          <w:szCs w:val="20"/>
        </w:rPr>
        <w:t xml:space="preserve">Employers expect applicants to be more work ready </w:t>
      </w:r>
    </w:p>
    <w:p w:rsidR="00C42C85" w:rsidRDefault="00C42C85" w:rsidP="00C42C85">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Skills providers, from schools to higher education, recognise and are embracing the importance of core skills, flexibility and equipping their learners with appropriate work readiness skills. </w:t>
      </w:r>
    </w:p>
    <w:p w:rsidR="00C42C85" w:rsidRDefault="00C42C85" w:rsidP="00C42C85">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Nonetheless, employer feedback suggests that they expect higher standards and that too few </w:t>
      </w:r>
      <w:r w:rsidR="0030648D">
        <w:rPr>
          <w:sz w:val="18"/>
          <w:szCs w:val="18"/>
        </w:rPr>
        <w:t xml:space="preserve">job applicants </w:t>
      </w:r>
      <w:r>
        <w:rPr>
          <w:sz w:val="18"/>
          <w:szCs w:val="18"/>
        </w:rPr>
        <w:t xml:space="preserve">(especially young people) have the </w:t>
      </w:r>
      <w:r>
        <w:rPr>
          <w:sz w:val="18"/>
          <w:szCs w:val="18"/>
        </w:rPr>
        <w:lastRenderedPageBreak/>
        <w:t xml:space="preserve">requisite set of rounded work readiness skills that give the employers confidence that taking them on will be low risk.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1"/>
      </w:tblGrid>
      <w:tr w:rsidR="00FD1D2A" w:rsidRPr="00971220" w:rsidTr="000E4835">
        <w:tc>
          <w:tcPr>
            <w:tcW w:w="6521" w:type="dxa"/>
            <w:shd w:val="clear" w:color="auto" w:fill="B8CCE4" w:themeFill="accent1" w:themeFillTint="66"/>
          </w:tcPr>
          <w:p w:rsidR="00B62735" w:rsidRDefault="00FD1D2A" w:rsidP="00B62735">
            <w:pPr>
              <w:pStyle w:val="normalnumbered"/>
              <w:tabs>
                <w:tab w:val="clear" w:pos="2666"/>
              </w:tabs>
              <w:spacing w:after="60" w:line="264" w:lineRule="auto"/>
              <w:ind w:left="176" w:right="176" w:firstLine="0"/>
              <w:jc w:val="center"/>
              <w:rPr>
                <w:i/>
                <w:sz w:val="18"/>
                <w:szCs w:val="18"/>
              </w:rPr>
            </w:pPr>
            <w:r w:rsidRPr="006B427B">
              <w:rPr>
                <w:i/>
                <w:sz w:val="18"/>
                <w:szCs w:val="18"/>
              </w:rPr>
              <w:t>“</w:t>
            </w:r>
            <w:r>
              <w:rPr>
                <w:i/>
                <w:sz w:val="18"/>
                <w:szCs w:val="18"/>
              </w:rPr>
              <w:t>We find th</w:t>
            </w:r>
            <w:r w:rsidR="0030648D">
              <w:rPr>
                <w:i/>
                <w:sz w:val="18"/>
                <w:szCs w:val="18"/>
              </w:rPr>
              <w:t xml:space="preserve">at </w:t>
            </w:r>
            <w:r>
              <w:rPr>
                <w:i/>
                <w:sz w:val="18"/>
                <w:szCs w:val="18"/>
              </w:rPr>
              <w:t>many young people are not very well prepared and struggle to get into the routine of going to work each day.”</w:t>
            </w:r>
          </w:p>
          <w:p w:rsidR="00FD1D2A" w:rsidRPr="00FD1D2A" w:rsidRDefault="00FD1D2A" w:rsidP="00B62735">
            <w:pPr>
              <w:pStyle w:val="normalnumbered"/>
              <w:tabs>
                <w:tab w:val="clear" w:pos="2666"/>
              </w:tabs>
              <w:spacing w:before="0" w:after="120" w:line="264" w:lineRule="auto"/>
              <w:ind w:left="176" w:right="176" w:firstLine="0"/>
              <w:jc w:val="center"/>
              <w:rPr>
                <w:i/>
                <w:sz w:val="18"/>
                <w:szCs w:val="18"/>
              </w:rPr>
            </w:pPr>
            <w:r w:rsidRPr="00FD1D2A">
              <w:rPr>
                <w:sz w:val="18"/>
                <w:szCs w:val="18"/>
              </w:rPr>
              <w:t>Employer</w:t>
            </w:r>
          </w:p>
        </w:tc>
      </w:tr>
    </w:tbl>
    <w:p w:rsidR="00FD1D2A" w:rsidRPr="00D14630" w:rsidRDefault="00FD1D2A" w:rsidP="00FD1D2A">
      <w:pPr>
        <w:pStyle w:val="normalnumbered"/>
        <w:tabs>
          <w:tab w:val="clear" w:pos="2666"/>
        </w:tabs>
        <w:spacing w:after="120" w:line="264" w:lineRule="auto"/>
        <w:ind w:left="0" w:right="40" w:firstLine="0"/>
        <w:rPr>
          <w:sz w:val="2"/>
          <w:szCs w:val="2"/>
        </w:rPr>
      </w:pPr>
    </w:p>
    <w:p w:rsidR="00C42C85" w:rsidRDefault="00C42C85" w:rsidP="00C42C85">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There are examples of where industry and education are working well together on these issues (see the Runshaw College example </w:t>
      </w:r>
      <w:r w:rsidR="000F6D5D">
        <w:rPr>
          <w:sz w:val="18"/>
          <w:szCs w:val="18"/>
        </w:rPr>
        <w:t xml:space="preserve">in Chapter </w:t>
      </w:r>
      <w:r w:rsidR="007E1190">
        <w:rPr>
          <w:sz w:val="18"/>
          <w:szCs w:val="18"/>
        </w:rPr>
        <w:t>Six</w:t>
      </w:r>
      <w:r>
        <w:rPr>
          <w:sz w:val="18"/>
          <w:szCs w:val="18"/>
        </w:rPr>
        <w:t xml:space="preserve">), but the opportunity exists to strengthen those links. </w:t>
      </w:r>
    </w:p>
    <w:p w:rsidR="00C42C85" w:rsidRPr="006C256B" w:rsidRDefault="006C256B" w:rsidP="00C42C85">
      <w:pPr>
        <w:tabs>
          <w:tab w:val="num" w:pos="860"/>
          <w:tab w:val="num" w:pos="1105"/>
        </w:tabs>
        <w:spacing w:before="240" w:after="120" w:line="288" w:lineRule="auto"/>
        <w:jc w:val="both"/>
        <w:rPr>
          <w:rFonts w:ascii="Arial" w:hAnsi="Arial" w:cs="Arial"/>
          <w:b/>
          <w:i/>
          <w:color w:val="660066"/>
          <w:sz w:val="20"/>
          <w:szCs w:val="20"/>
        </w:rPr>
      </w:pPr>
      <w:r w:rsidRPr="006C256B">
        <w:rPr>
          <w:rFonts w:ascii="Arial" w:hAnsi="Arial" w:cs="Arial"/>
          <w:b/>
          <w:i/>
          <w:color w:val="660066"/>
          <w:sz w:val="20"/>
          <w:szCs w:val="20"/>
        </w:rPr>
        <w:t>Access to t</w:t>
      </w:r>
      <w:r w:rsidR="00C42C85" w:rsidRPr="006C256B">
        <w:rPr>
          <w:rFonts w:ascii="Arial" w:hAnsi="Arial" w:cs="Arial"/>
          <w:b/>
          <w:i/>
          <w:color w:val="660066"/>
          <w:sz w:val="20"/>
          <w:szCs w:val="20"/>
        </w:rPr>
        <w:t>ransport</w:t>
      </w:r>
      <w:r w:rsidRPr="006C256B">
        <w:rPr>
          <w:rFonts w:ascii="Arial" w:hAnsi="Arial" w:cs="Arial"/>
          <w:b/>
          <w:i/>
          <w:color w:val="660066"/>
          <w:sz w:val="20"/>
          <w:szCs w:val="20"/>
        </w:rPr>
        <w:t xml:space="preserve"> can be a barrier to employment</w:t>
      </w:r>
    </w:p>
    <w:p w:rsidR="00C42C85" w:rsidRDefault="00C42C85" w:rsidP="00C42C85">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Several </w:t>
      </w:r>
      <w:r w:rsidRPr="00C42C85">
        <w:rPr>
          <w:sz w:val="18"/>
          <w:szCs w:val="18"/>
        </w:rPr>
        <w:t xml:space="preserve">times during the consultation work undertaken for this </w:t>
      </w:r>
      <w:r w:rsidR="00FD1D2A">
        <w:rPr>
          <w:sz w:val="18"/>
          <w:szCs w:val="18"/>
        </w:rPr>
        <w:t>study</w:t>
      </w:r>
      <w:r w:rsidRPr="00C42C85">
        <w:rPr>
          <w:sz w:val="18"/>
          <w:szCs w:val="18"/>
        </w:rPr>
        <w:t xml:space="preserve">, the scarcity of public transport services outside of conventional working hours </w:t>
      </w:r>
      <w:r w:rsidR="00FD1D2A">
        <w:rPr>
          <w:sz w:val="18"/>
          <w:szCs w:val="18"/>
        </w:rPr>
        <w:t xml:space="preserve">has been </w:t>
      </w:r>
      <w:r w:rsidRPr="00C42C85">
        <w:rPr>
          <w:sz w:val="18"/>
          <w:szCs w:val="18"/>
        </w:rPr>
        <w:t xml:space="preserve">highlighted as an issue affecting (un)employment and </w:t>
      </w:r>
      <w:r>
        <w:rPr>
          <w:sz w:val="18"/>
          <w:szCs w:val="18"/>
        </w:rPr>
        <w:t xml:space="preserve">the filling of vacancies in the visitor economy.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1"/>
      </w:tblGrid>
      <w:tr w:rsidR="008A0695" w:rsidRPr="00971220" w:rsidTr="000E4835">
        <w:tc>
          <w:tcPr>
            <w:tcW w:w="6521" w:type="dxa"/>
            <w:shd w:val="clear" w:color="auto" w:fill="B8CCE4" w:themeFill="accent1" w:themeFillTint="66"/>
          </w:tcPr>
          <w:p w:rsidR="00B62735" w:rsidRDefault="008A0695" w:rsidP="00B62735">
            <w:pPr>
              <w:pStyle w:val="normalnumbered"/>
              <w:tabs>
                <w:tab w:val="clear" w:pos="2666"/>
              </w:tabs>
              <w:spacing w:after="60" w:line="264" w:lineRule="auto"/>
              <w:ind w:left="176" w:right="176" w:firstLine="0"/>
              <w:jc w:val="center"/>
              <w:rPr>
                <w:i/>
                <w:sz w:val="18"/>
                <w:szCs w:val="18"/>
              </w:rPr>
            </w:pPr>
            <w:r w:rsidRPr="006B427B">
              <w:rPr>
                <w:i/>
                <w:sz w:val="18"/>
                <w:szCs w:val="18"/>
              </w:rPr>
              <w:t>“</w:t>
            </w:r>
            <w:r>
              <w:rPr>
                <w:i/>
                <w:sz w:val="18"/>
                <w:szCs w:val="18"/>
              </w:rPr>
              <w:t>We’re only 3 miles out of the town but we have terrible trouble finding people [to fill vacancies] because many don’t have their own transport and they finish work after the buses have stopped.”</w:t>
            </w:r>
          </w:p>
          <w:p w:rsidR="008A0695" w:rsidRPr="00FD1D2A" w:rsidRDefault="008A0695" w:rsidP="00B62735">
            <w:pPr>
              <w:pStyle w:val="normalnumbered"/>
              <w:tabs>
                <w:tab w:val="clear" w:pos="2666"/>
              </w:tabs>
              <w:spacing w:before="0" w:after="120" w:line="264" w:lineRule="auto"/>
              <w:ind w:left="176" w:right="176" w:firstLine="0"/>
              <w:jc w:val="center"/>
              <w:rPr>
                <w:i/>
                <w:sz w:val="18"/>
                <w:szCs w:val="18"/>
              </w:rPr>
            </w:pPr>
            <w:r w:rsidRPr="00FD1D2A">
              <w:rPr>
                <w:sz w:val="18"/>
                <w:szCs w:val="18"/>
              </w:rPr>
              <w:t>Employer</w:t>
            </w:r>
          </w:p>
        </w:tc>
      </w:tr>
    </w:tbl>
    <w:p w:rsidR="008A0695" w:rsidRPr="00D14630" w:rsidRDefault="008A0695" w:rsidP="008A0695">
      <w:pPr>
        <w:pStyle w:val="normalnumbered"/>
        <w:tabs>
          <w:tab w:val="clear" w:pos="2666"/>
        </w:tabs>
        <w:spacing w:after="120" w:line="264" w:lineRule="auto"/>
        <w:ind w:left="0" w:right="40" w:firstLine="0"/>
        <w:rPr>
          <w:sz w:val="2"/>
          <w:szCs w:val="2"/>
        </w:rPr>
      </w:pPr>
    </w:p>
    <w:p w:rsidR="00C42C85" w:rsidRDefault="00C42C85" w:rsidP="00C42C85">
      <w:pPr>
        <w:pStyle w:val="normalnumbered"/>
        <w:numPr>
          <w:ilvl w:val="1"/>
          <w:numId w:val="1"/>
        </w:numPr>
        <w:tabs>
          <w:tab w:val="clear" w:pos="2666"/>
          <w:tab w:val="num" w:pos="709"/>
        </w:tabs>
        <w:spacing w:line="264" w:lineRule="auto"/>
        <w:ind w:left="0" w:right="40" w:firstLine="0"/>
        <w:rPr>
          <w:sz w:val="18"/>
          <w:szCs w:val="18"/>
        </w:rPr>
      </w:pPr>
      <w:r>
        <w:rPr>
          <w:sz w:val="18"/>
          <w:szCs w:val="18"/>
        </w:rPr>
        <w:t>Schemes</w:t>
      </w:r>
      <w:r w:rsidR="008A0695">
        <w:rPr>
          <w:sz w:val="18"/>
          <w:szCs w:val="18"/>
        </w:rPr>
        <w:t xml:space="preserve"> aimed at </w:t>
      </w:r>
      <w:r>
        <w:rPr>
          <w:sz w:val="18"/>
          <w:szCs w:val="18"/>
        </w:rPr>
        <w:t>address</w:t>
      </w:r>
      <w:r w:rsidR="008A0695">
        <w:rPr>
          <w:sz w:val="18"/>
          <w:szCs w:val="18"/>
        </w:rPr>
        <w:t>ing</w:t>
      </w:r>
      <w:r>
        <w:rPr>
          <w:sz w:val="18"/>
          <w:szCs w:val="18"/>
        </w:rPr>
        <w:t xml:space="preserve"> this issue (e.g. </w:t>
      </w:r>
      <w:r>
        <w:rPr>
          <w:i/>
          <w:sz w:val="18"/>
          <w:szCs w:val="18"/>
        </w:rPr>
        <w:t>Wheels to Work</w:t>
      </w:r>
      <w:r>
        <w:rPr>
          <w:sz w:val="18"/>
          <w:szCs w:val="18"/>
        </w:rPr>
        <w:t xml:space="preserve">) exist </w:t>
      </w:r>
      <w:r w:rsidR="008A0695">
        <w:rPr>
          <w:sz w:val="18"/>
          <w:szCs w:val="18"/>
        </w:rPr>
        <w:t>elsewhere in</w:t>
      </w:r>
      <w:r>
        <w:rPr>
          <w:sz w:val="18"/>
          <w:szCs w:val="18"/>
        </w:rPr>
        <w:t xml:space="preserve"> the country, but not currently in Lancashire.  </w:t>
      </w:r>
      <w:r w:rsidR="008A0695">
        <w:rPr>
          <w:sz w:val="18"/>
          <w:szCs w:val="18"/>
        </w:rPr>
        <w:t xml:space="preserve">Chapter </w:t>
      </w:r>
      <w:r w:rsidR="007E1190">
        <w:rPr>
          <w:sz w:val="18"/>
          <w:szCs w:val="18"/>
        </w:rPr>
        <w:t>Seven</w:t>
      </w:r>
      <w:r w:rsidR="00387466">
        <w:rPr>
          <w:sz w:val="18"/>
          <w:szCs w:val="18"/>
        </w:rPr>
        <w:t xml:space="preserve"> </w:t>
      </w:r>
      <w:r w:rsidR="008A0695">
        <w:rPr>
          <w:sz w:val="18"/>
          <w:szCs w:val="18"/>
        </w:rPr>
        <w:t>therefore recommends that a</w:t>
      </w:r>
      <w:r>
        <w:rPr>
          <w:sz w:val="18"/>
          <w:szCs w:val="18"/>
        </w:rPr>
        <w:t xml:space="preserve"> dialogue be initiated with stakeholders in other sectors to explore the </w:t>
      </w:r>
      <w:r w:rsidR="008A0695">
        <w:rPr>
          <w:sz w:val="18"/>
          <w:szCs w:val="18"/>
        </w:rPr>
        <w:t xml:space="preserve">merits of </w:t>
      </w:r>
      <w:r>
        <w:rPr>
          <w:sz w:val="18"/>
          <w:szCs w:val="18"/>
        </w:rPr>
        <w:t>introduc</w:t>
      </w:r>
      <w:r w:rsidR="008A0695">
        <w:rPr>
          <w:sz w:val="18"/>
          <w:szCs w:val="18"/>
        </w:rPr>
        <w:t xml:space="preserve">ing </w:t>
      </w:r>
      <w:r>
        <w:rPr>
          <w:sz w:val="18"/>
          <w:szCs w:val="18"/>
        </w:rPr>
        <w:t xml:space="preserve">a cross-sector supported transport initiative. </w:t>
      </w:r>
    </w:p>
    <w:p w:rsidR="00C42C85" w:rsidRPr="006C256B" w:rsidRDefault="002E37BF" w:rsidP="00C42C85">
      <w:pPr>
        <w:tabs>
          <w:tab w:val="num" w:pos="860"/>
          <w:tab w:val="num" w:pos="1105"/>
        </w:tabs>
        <w:spacing w:before="240" w:after="120" w:line="288" w:lineRule="auto"/>
        <w:jc w:val="both"/>
        <w:rPr>
          <w:rFonts w:ascii="Arial" w:hAnsi="Arial" w:cs="Arial"/>
          <w:b/>
          <w:i/>
          <w:color w:val="660066"/>
          <w:sz w:val="20"/>
          <w:szCs w:val="20"/>
        </w:rPr>
      </w:pPr>
      <w:r>
        <w:rPr>
          <w:rFonts w:ascii="Arial" w:hAnsi="Arial" w:cs="Arial"/>
          <w:b/>
          <w:i/>
          <w:color w:val="660066"/>
          <w:sz w:val="20"/>
          <w:szCs w:val="20"/>
        </w:rPr>
        <w:t>Applicants often lack the necessary s</w:t>
      </w:r>
      <w:r w:rsidR="006C256B" w:rsidRPr="006C256B">
        <w:rPr>
          <w:rFonts w:ascii="Arial" w:hAnsi="Arial" w:cs="Arial"/>
          <w:b/>
          <w:i/>
          <w:color w:val="660066"/>
          <w:sz w:val="20"/>
          <w:szCs w:val="20"/>
        </w:rPr>
        <w:t>oft skills</w:t>
      </w:r>
      <w:r>
        <w:rPr>
          <w:rFonts w:ascii="Arial" w:hAnsi="Arial" w:cs="Arial"/>
          <w:b/>
          <w:i/>
          <w:color w:val="660066"/>
          <w:sz w:val="20"/>
          <w:szCs w:val="20"/>
        </w:rPr>
        <w:t xml:space="preserve"> </w:t>
      </w:r>
    </w:p>
    <w:p w:rsidR="00C42C85" w:rsidRPr="00C42C85" w:rsidRDefault="00C42C85" w:rsidP="00C42C85">
      <w:pPr>
        <w:pStyle w:val="normalnumbered"/>
        <w:numPr>
          <w:ilvl w:val="1"/>
          <w:numId w:val="1"/>
        </w:numPr>
        <w:tabs>
          <w:tab w:val="clear" w:pos="2666"/>
          <w:tab w:val="num" w:pos="709"/>
        </w:tabs>
        <w:spacing w:line="264" w:lineRule="auto"/>
        <w:ind w:left="0" w:right="40" w:firstLine="0"/>
        <w:rPr>
          <w:sz w:val="18"/>
          <w:szCs w:val="18"/>
        </w:rPr>
      </w:pPr>
      <w:r w:rsidRPr="00C42C85">
        <w:rPr>
          <w:sz w:val="18"/>
          <w:szCs w:val="18"/>
        </w:rPr>
        <w:t>National research by People 1</w:t>
      </w:r>
      <w:r w:rsidRPr="00C42C85">
        <w:rPr>
          <w:sz w:val="18"/>
          <w:szCs w:val="18"/>
          <w:vertAlign w:val="superscript"/>
        </w:rPr>
        <w:t>st</w:t>
      </w:r>
      <w:r w:rsidRPr="00C42C85">
        <w:rPr>
          <w:sz w:val="18"/>
          <w:szCs w:val="18"/>
        </w:rPr>
        <w:t xml:space="preserve"> </w:t>
      </w:r>
      <w:r w:rsidR="000E4835">
        <w:rPr>
          <w:sz w:val="18"/>
          <w:szCs w:val="18"/>
        </w:rPr>
        <w:t xml:space="preserve">has </w:t>
      </w:r>
      <w:r w:rsidRPr="00C42C85">
        <w:rPr>
          <w:sz w:val="18"/>
          <w:szCs w:val="18"/>
        </w:rPr>
        <w:t>identified a particular recruitment challenge around the poor quality soft skills of job applicants</w:t>
      </w:r>
      <w:r>
        <w:rPr>
          <w:rStyle w:val="FootnoteReference"/>
          <w:sz w:val="18"/>
          <w:szCs w:val="18"/>
        </w:rPr>
        <w:footnoteReference w:id="42"/>
      </w:r>
      <w:r w:rsidRPr="00C42C85">
        <w:rPr>
          <w:sz w:val="18"/>
          <w:szCs w:val="18"/>
        </w:rPr>
        <w:t xml:space="preserve">.  </w:t>
      </w:r>
      <w:r w:rsidR="00570B2F">
        <w:rPr>
          <w:sz w:val="18"/>
          <w:szCs w:val="18"/>
        </w:rPr>
        <w:t xml:space="preserve">To some extent this </w:t>
      </w:r>
      <w:r w:rsidRPr="00C42C85">
        <w:rPr>
          <w:sz w:val="18"/>
          <w:szCs w:val="18"/>
        </w:rPr>
        <w:t xml:space="preserve">is supported by </w:t>
      </w:r>
      <w:r w:rsidRPr="00570B2F">
        <w:rPr>
          <w:sz w:val="18"/>
          <w:szCs w:val="18"/>
        </w:rPr>
        <w:t>the</w:t>
      </w:r>
      <w:r w:rsidR="007315CE" w:rsidRPr="00570B2F">
        <w:rPr>
          <w:sz w:val="18"/>
          <w:szCs w:val="18"/>
        </w:rPr>
        <w:t xml:space="preserve"> 2013</w:t>
      </w:r>
      <w:r w:rsidR="000E4835" w:rsidRPr="00570B2F">
        <w:rPr>
          <w:sz w:val="18"/>
          <w:szCs w:val="18"/>
        </w:rPr>
        <w:t xml:space="preserve"> UK Employer Skills Survey and the 2011 National Employer Skills Survey, both</w:t>
      </w:r>
      <w:r w:rsidR="000E4835">
        <w:rPr>
          <w:sz w:val="18"/>
          <w:szCs w:val="18"/>
        </w:rPr>
        <w:t xml:space="preserve"> of which </w:t>
      </w:r>
      <w:r>
        <w:rPr>
          <w:sz w:val="18"/>
          <w:szCs w:val="18"/>
        </w:rPr>
        <w:t xml:space="preserve">found that </w:t>
      </w:r>
      <w:r w:rsidR="00570B2F">
        <w:rPr>
          <w:sz w:val="18"/>
          <w:szCs w:val="18"/>
        </w:rPr>
        <w:t>hotels and restaurants</w:t>
      </w:r>
      <w:r w:rsidRPr="004D67E8">
        <w:rPr>
          <w:sz w:val="18"/>
          <w:szCs w:val="18"/>
        </w:rPr>
        <w:t xml:space="preserve"> with hard </w:t>
      </w:r>
      <w:r w:rsidRPr="004D67E8">
        <w:rPr>
          <w:sz w:val="18"/>
          <w:szCs w:val="18"/>
        </w:rPr>
        <w:lastRenderedPageBreak/>
        <w:t xml:space="preserve">to fill vacancies </w:t>
      </w:r>
      <w:r w:rsidR="000E4835">
        <w:rPr>
          <w:sz w:val="18"/>
          <w:szCs w:val="18"/>
        </w:rPr>
        <w:t xml:space="preserve">often </w:t>
      </w:r>
      <w:r w:rsidRPr="004D67E8">
        <w:rPr>
          <w:sz w:val="18"/>
          <w:szCs w:val="18"/>
        </w:rPr>
        <w:t>report</w:t>
      </w:r>
      <w:r w:rsidR="000E4835">
        <w:rPr>
          <w:sz w:val="18"/>
          <w:szCs w:val="18"/>
        </w:rPr>
        <w:t xml:space="preserve"> that a</w:t>
      </w:r>
      <w:r w:rsidRPr="004D67E8">
        <w:rPr>
          <w:sz w:val="18"/>
          <w:szCs w:val="18"/>
        </w:rPr>
        <w:t xml:space="preserve">pplicants </w:t>
      </w:r>
      <w:r w:rsidR="000E4835">
        <w:rPr>
          <w:sz w:val="18"/>
          <w:szCs w:val="18"/>
        </w:rPr>
        <w:t xml:space="preserve">lack the necessary </w:t>
      </w:r>
      <w:r w:rsidRPr="004D67E8">
        <w:rPr>
          <w:sz w:val="18"/>
          <w:szCs w:val="18"/>
        </w:rPr>
        <w:t>customer h</w:t>
      </w:r>
      <w:r>
        <w:rPr>
          <w:sz w:val="18"/>
          <w:szCs w:val="18"/>
        </w:rPr>
        <w:t>andling</w:t>
      </w:r>
      <w:r w:rsidR="000E4835">
        <w:rPr>
          <w:sz w:val="18"/>
          <w:szCs w:val="18"/>
        </w:rPr>
        <w:t xml:space="preserve">, </w:t>
      </w:r>
      <w:r w:rsidRPr="004D67E8">
        <w:rPr>
          <w:sz w:val="18"/>
          <w:szCs w:val="18"/>
        </w:rPr>
        <w:t>planning and organisation</w:t>
      </w:r>
      <w:r w:rsidR="000E4835">
        <w:rPr>
          <w:sz w:val="18"/>
          <w:szCs w:val="18"/>
        </w:rPr>
        <w:t xml:space="preserve">, </w:t>
      </w:r>
      <w:r w:rsidRPr="004D67E8">
        <w:rPr>
          <w:sz w:val="18"/>
          <w:szCs w:val="18"/>
        </w:rPr>
        <w:t>oral communication and</w:t>
      </w:r>
      <w:r w:rsidR="000E4835">
        <w:rPr>
          <w:sz w:val="18"/>
          <w:szCs w:val="18"/>
        </w:rPr>
        <w:t>/or</w:t>
      </w:r>
      <w:r w:rsidRPr="004D67E8">
        <w:rPr>
          <w:sz w:val="18"/>
          <w:szCs w:val="18"/>
        </w:rPr>
        <w:t xml:space="preserve"> team work</w:t>
      </w:r>
      <w:r w:rsidR="000E4835">
        <w:rPr>
          <w:sz w:val="18"/>
          <w:szCs w:val="18"/>
        </w:rPr>
        <w:t xml:space="preserve"> skills</w:t>
      </w:r>
      <w:r w:rsidRPr="004D67E8">
        <w:rPr>
          <w:sz w:val="18"/>
          <w:szCs w:val="18"/>
        </w:rPr>
        <w:t>.</w:t>
      </w:r>
      <w:r w:rsidRPr="004D67E8">
        <w:rPr>
          <w:rFonts w:cs="HelveticaNeueLT Std Lt"/>
          <w:color w:val="000000"/>
          <w:sz w:val="23"/>
          <w:szCs w:val="23"/>
        </w:rPr>
        <w:t xml:space="preserve"> </w:t>
      </w:r>
    </w:p>
    <w:p w:rsidR="00583593" w:rsidRDefault="00583593" w:rsidP="00583593">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These findings are corroborated not only by the Labour Force Survey – which in 2014 found that </w:t>
      </w:r>
      <w:r w:rsidR="00C42C85" w:rsidRPr="0060265F">
        <w:rPr>
          <w:sz w:val="18"/>
          <w:szCs w:val="18"/>
        </w:rPr>
        <w:t xml:space="preserve">almost three fifths of </w:t>
      </w:r>
      <w:r w:rsidR="000E4835">
        <w:rPr>
          <w:sz w:val="18"/>
          <w:szCs w:val="18"/>
        </w:rPr>
        <w:t xml:space="preserve">tourism </w:t>
      </w:r>
      <w:r w:rsidR="00C42C85" w:rsidRPr="0060265F">
        <w:rPr>
          <w:sz w:val="18"/>
          <w:szCs w:val="18"/>
        </w:rPr>
        <w:t>employers said that youn</w:t>
      </w:r>
      <w:r>
        <w:rPr>
          <w:sz w:val="18"/>
          <w:szCs w:val="18"/>
        </w:rPr>
        <w:t>g people lack</w:t>
      </w:r>
      <w:r w:rsidR="000E4835">
        <w:rPr>
          <w:sz w:val="18"/>
          <w:szCs w:val="18"/>
        </w:rPr>
        <w:t>ed</w:t>
      </w:r>
      <w:r>
        <w:rPr>
          <w:sz w:val="18"/>
          <w:szCs w:val="18"/>
        </w:rPr>
        <w:t xml:space="preserve"> basic soft skills</w:t>
      </w:r>
      <w:r w:rsidR="00C42C85" w:rsidRPr="0060265F">
        <w:rPr>
          <w:sz w:val="18"/>
          <w:szCs w:val="18"/>
        </w:rPr>
        <w:t xml:space="preserve"> such as communication and team working</w:t>
      </w:r>
      <w:r w:rsidR="00C42C85" w:rsidRPr="0060265F">
        <w:rPr>
          <w:sz w:val="18"/>
          <w:szCs w:val="18"/>
          <w:vertAlign w:val="superscript"/>
        </w:rPr>
        <w:footnoteReference w:id="43"/>
      </w:r>
      <w:r>
        <w:rPr>
          <w:sz w:val="18"/>
          <w:szCs w:val="18"/>
        </w:rPr>
        <w:t xml:space="preserve"> – but also by the primary research undertaken for this </w:t>
      </w:r>
      <w:r w:rsidR="000E4835">
        <w:rPr>
          <w:sz w:val="18"/>
          <w:szCs w:val="18"/>
        </w:rPr>
        <w:t>study</w:t>
      </w:r>
      <w:r w:rsidR="0030648D">
        <w:rPr>
          <w:sz w:val="18"/>
          <w:szCs w:val="18"/>
        </w:rPr>
        <w:t xml:space="preserve">, </w:t>
      </w:r>
      <w:r w:rsidR="000F6D5D">
        <w:rPr>
          <w:sz w:val="18"/>
          <w:szCs w:val="18"/>
        </w:rPr>
        <w:t>where</w:t>
      </w:r>
      <w:r w:rsidR="000E4835">
        <w:rPr>
          <w:sz w:val="18"/>
          <w:szCs w:val="18"/>
        </w:rPr>
        <w:t xml:space="preserve"> employers cited attitudinal, motivational and </w:t>
      </w:r>
      <w:r>
        <w:rPr>
          <w:sz w:val="18"/>
          <w:szCs w:val="18"/>
        </w:rPr>
        <w:t xml:space="preserve">personality </w:t>
      </w:r>
      <w:r w:rsidR="000E4835">
        <w:rPr>
          <w:sz w:val="18"/>
          <w:szCs w:val="18"/>
        </w:rPr>
        <w:t xml:space="preserve">issues </w:t>
      </w:r>
      <w:r>
        <w:rPr>
          <w:sz w:val="18"/>
          <w:szCs w:val="18"/>
        </w:rPr>
        <w:t xml:space="preserve">as being amongst the </w:t>
      </w:r>
      <w:r w:rsidR="0030648D">
        <w:rPr>
          <w:sz w:val="18"/>
          <w:szCs w:val="18"/>
        </w:rPr>
        <w:t xml:space="preserve">main </w:t>
      </w:r>
      <w:r>
        <w:rPr>
          <w:sz w:val="18"/>
          <w:szCs w:val="18"/>
        </w:rPr>
        <w:t xml:space="preserve">reasons for their recruitment challenges.  </w:t>
      </w:r>
    </w:p>
    <w:p w:rsidR="00583593" w:rsidRPr="00583593" w:rsidRDefault="00583593" w:rsidP="00583593">
      <w:pPr>
        <w:pStyle w:val="normalnumbered"/>
        <w:numPr>
          <w:ilvl w:val="1"/>
          <w:numId w:val="1"/>
        </w:numPr>
        <w:tabs>
          <w:tab w:val="clear" w:pos="2666"/>
          <w:tab w:val="num" w:pos="709"/>
        </w:tabs>
        <w:spacing w:line="264" w:lineRule="auto"/>
        <w:ind w:left="0" w:right="40" w:firstLine="0"/>
        <w:rPr>
          <w:sz w:val="18"/>
          <w:szCs w:val="18"/>
        </w:rPr>
      </w:pPr>
      <w:r w:rsidRPr="00583593">
        <w:rPr>
          <w:sz w:val="18"/>
          <w:szCs w:val="18"/>
        </w:rPr>
        <w:t xml:space="preserve">It is difficult to address this holistically through a sector specific action plan, but nonetheless, </w:t>
      </w:r>
      <w:r>
        <w:rPr>
          <w:sz w:val="18"/>
          <w:szCs w:val="18"/>
        </w:rPr>
        <w:t>i</w:t>
      </w:r>
      <w:r w:rsidRPr="00583593">
        <w:rPr>
          <w:sz w:val="18"/>
          <w:szCs w:val="18"/>
        </w:rPr>
        <w:t>n a competitive, customer focused market the importance of soft skills</w:t>
      </w:r>
      <w:r>
        <w:rPr>
          <w:sz w:val="18"/>
          <w:szCs w:val="18"/>
        </w:rPr>
        <w:t xml:space="preserve"> and attitudes</w:t>
      </w:r>
      <w:r w:rsidRPr="00583593">
        <w:rPr>
          <w:sz w:val="18"/>
          <w:szCs w:val="18"/>
        </w:rPr>
        <w:t xml:space="preserve">, including effective communication, can have a </w:t>
      </w:r>
      <w:r w:rsidR="0030648D">
        <w:rPr>
          <w:sz w:val="18"/>
          <w:szCs w:val="18"/>
        </w:rPr>
        <w:t>definite</w:t>
      </w:r>
      <w:r w:rsidRPr="00583593">
        <w:rPr>
          <w:sz w:val="18"/>
          <w:szCs w:val="18"/>
        </w:rPr>
        <w:t xml:space="preserve"> impact on business performance. </w:t>
      </w:r>
      <w:r>
        <w:rPr>
          <w:sz w:val="18"/>
          <w:szCs w:val="18"/>
        </w:rPr>
        <w:t xml:space="preserve">Commendable progress has been made through the provision of </w:t>
      </w:r>
      <w:r w:rsidR="00387466">
        <w:rPr>
          <w:sz w:val="18"/>
          <w:szCs w:val="18"/>
        </w:rPr>
        <w:t>high quality customer service</w:t>
      </w:r>
      <w:r>
        <w:rPr>
          <w:sz w:val="18"/>
          <w:szCs w:val="18"/>
        </w:rPr>
        <w:t xml:space="preserve"> training and steps should be taken to continue driving up the number of visitor economy employers participating in this kind of workforce development activity</w:t>
      </w:r>
      <w:r w:rsidR="0030648D">
        <w:rPr>
          <w:sz w:val="18"/>
          <w:szCs w:val="18"/>
        </w:rPr>
        <w:t xml:space="preserve"> in the future</w:t>
      </w:r>
      <w:r>
        <w:rPr>
          <w:sz w:val="18"/>
          <w:szCs w:val="18"/>
        </w:rPr>
        <w:t xml:space="preserve">. </w:t>
      </w:r>
    </w:p>
    <w:p w:rsidR="006C256B" w:rsidRPr="000F6D5D" w:rsidRDefault="006C256B" w:rsidP="006C256B">
      <w:pPr>
        <w:pStyle w:val="ListParagraph"/>
        <w:keepNext/>
        <w:pageBreakBefore/>
        <w:numPr>
          <w:ilvl w:val="0"/>
          <w:numId w:val="1"/>
        </w:numPr>
        <w:tabs>
          <w:tab w:val="clear" w:pos="1112"/>
          <w:tab w:val="num" w:pos="567"/>
        </w:tabs>
        <w:spacing w:before="240" w:after="240" w:line="360" w:lineRule="auto"/>
        <w:ind w:left="567" w:hanging="567"/>
        <w:jc w:val="both"/>
        <w:outlineLvl w:val="0"/>
        <w:rPr>
          <w:rFonts w:ascii="Arial Bold" w:hAnsi="Arial Bold" w:cs="Arial"/>
          <w:b/>
          <w:bCs/>
          <w:color w:val="6C2768"/>
          <w:kern w:val="32"/>
          <w:sz w:val="28"/>
          <w:szCs w:val="32"/>
          <w:lang w:eastAsia="en-GB"/>
        </w:rPr>
      </w:pPr>
      <w:bookmarkStart w:id="97" w:name="_Toc424128478"/>
      <w:bookmarkStart w:id="98" w:name="_Toc419469484"/>
      <w:r w:rsidRPr="000F6D5D">
        <w:rPr>
          <w:rFonts w:ascii="Arial Bold" w:hAnsi="Arial Bold" w:cs="Arial"/>
          <w:b/>
          <w:bCs/>
          <w:color w:val="6C2768"/>
          <w:kern w:val="32"/>
          <w:sz w:val="28"/>
          <w:szCs w:val="32"/>
          <w:lang w:eastAsia="en-GB"/>
        </w:rPr>
        <w:lastRenderedPageBreak/>
        <w:t>Skills Gaps</w:t>
      </w:r>
      <w:bookmarkEnd w:id="97"/>
      <w:r w:rsidRPr="000F6D5D">
        <w:rPr>
          <w:rFonts w:ascii="Arial Bold" w:hAnsi="Arial Bold" w:cs="Arial"/>
          <w:b/>
          <w:bCs/>
          <w:color w:val="6C2768"/>
          <w:kern w:val="32"/>
          <w:sz w:val="28"/>
          <w:szCs w:val="32"/>
          <w:lang w:eastAsia="en-GB"/>
        </w:rPr>
        <w:t xml:space="preserve">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1DD" w:themeFill="accent3" w:themeFillTint="33"/>
        <w:tblLook w:val="04A0" w:firstRow="1" w:lastRow="0" w:firstColumn="1" w:lastColumn="0" w:noHBand="0" w:noVBand="1"/>
      </w:tblPr>
      <w:tblGrid>
        <w:gridCol w:w="6663"/>
      </w:tblGrid>
      <w:tr w:rsidR="00240D18" w:rsidRPr="00971220" w:rsidTr="000A3998">
        <w:tc>
          <w:tcPr>
            <w:tcW w:w="6663" w:type="dxa"/>
            <w:shd w:val="clear" w:color="auto" w:fill="EAF1DD" w:themeFill="accent3" w:themeFillTint="33"/>
          </w:tcPr>
          <w:bookmarkEnd w:id="98"/>
          <w:p w:rsidR="00240D18" w:rsidRPr="00BA477C" w:rsidRDefault="00240D18" w:rsidP="000A3998">
            <w:pPr>
              <w:pStyle w:val="normalnumbered"/>
              <w:tabs>
                <w:tab w:val="clear" w:pos="2666"/>
              </w:tabs>
              <w:spacing w:after="120" w:line="264" w:lineRule="auto"/>
              <w:ind w:right="176"/>
              <w:jc w:val="left"/>
              <w:rPr>
                <w:b/>
                <w:color w:val="6C2768"/>
                <w:sz w:val="18"/>
                <w:szCs w:val="18"/>
              </w:rPr>
            </w:pPr>
            <w:r w:rsidRPr="00BA477C">
              <w:rPr>
                <w:b/>
                <w:color w:val="6C2768"/>
                <w:sz w:val="18"/>
                <w:szCs w:val="18"/>
              </w:rPr>
              <w:t>Summary of Key Points</w:t>
            </w:r>
          </w:p>
          <w:p w:rsidR="00240D18" w:rsidRDefault="00240D18" w:rsidP="00240D18">
            <w:pPr>
              <w:pStyle w:val="normalnumbered"/>
              <w:numPr>
                <w:ilvl w:val="0"/>
                <w:numId w:val="24"/>
              </w:numPr>
              <w:spacing w:after="120" w:line="264" w:lineRule="auto"/>
              <w:ind w:right="176"/>
              <w:rPr>
                <w:sz w:val="18"/>
                <w:szCs w:val="18"/>
              </w:rPr>
            </w:pPr>
            <w:r>
              <w:rPr>
                <w:sz w:val="18"/>
                <w:szCs w:val="18"/>
              </w:rPr>
              <w:t>S</w:t>
            </w:r>
            <w:r w:rsidRPr="00583593">
              <w:rPr>
                <w:sz w:val="18"/>
                <w:szCs w:val="18"/>
              </w:rPr>
              <w:t xml:space="preserve">kills gaps in the visitor economy are distinctly more prevalent than they are across </w:t>
            </w:r>
            <w:r>
              <w:rPr>
                <w:sz w:val="18"/>
                <w:szCs w:val="18"/>
              </w:rPr>
              <w:t xml:space="preserve">the </w:t>
            </w:r>
            <w:r w:rsidR="000A3998">
              <w:rPr>
                <w:sz w:val="18"/>
                <w:szCs w:val="18"/>
              </w:rPr>
              <w:t xml:space="preserve">UK </w:t>
            </w:r>
            <w:r>
              <w:rPr>
                <w:sz w:val="18"/>
                <w:szCs w:val="18"/>
              </w:rPr>
              <w:t>economy as a whole</w:t>
            </w:r>
            <w:r w:rsidRPr="00922D0F">
              <w:rPr>
                <w:sz w:val="18"/>
                <w:szCs w:val="18"/>
              </w:rPr>
              <w:t>.</w:t>
            </w:r>
            <w:r>
              <w:rPr>
                <w:sz w:val="18"/>
                <w:szCs w:val="18"/>
              </w:rPr>
              <w:t xml:space="preserve">  In Lancashire, </w:t>
            </w:r>
            <w:r w:rsidRPr="00B27D15">
              <w:rPr>
                <w:sz w:val="18"/>
                <w:szCs w:val="18"/>
              </w:rPr>
              <w:t>the 2013 UK Employer Skills Survey show</w:t>
            </w:r>
            <w:r>
              <w:rPr>
                <w:sz w:val="18"/>
                <w:szCs w:val="18"/>
              </w:rPr>
              <w:t xml:space="preserve">ed that </w:t>
            </w:r>
            <w:r w:rsidRPr="00B27D15">
              <w:rPr>
                <w:sz w:val="18"/>
                <w:szCs w:val="18"/>
              </w:rPr>
              <w:t xml:space="preserve">22% of </w:t>
            </w:r>
            <w:r>
              <w:rPr>
                <w:sz w:val="18"/>
                <w:szCs w:val="18"/>
              </w:rPr>
              <w:t>the county’s</w:t>
            </w:r>
            <w:r w:rsidRPr="00B27D15">
              <w:rPr>
                <w:sz w:val="18"/>
                <w:szCs w:val="18"/>
              </w:rPr>
              <w:t xml:space="preserve"> hotels and restaurants </w:t>
            </w:r>
            <w:r>
              <w:rPr>
                <w:sz w:val="18"/>
                <w:szCs w:val="18"/>
              </w:rPr>
              <w:t>had</w:t>
            </w:r>
            <w:r w:rsidRPr="00B27D15">
              <w:rPr>
                <w:sz w:val="18"/>
                <w:szCs w:val="18"/>
              </w:rPr>
              <w:t xml:space="preserve"> a skills gap, compared with the all-sector Lancashire figure of 17%. </w:t>
            </w:r>
            <w:r w:rsidR="000A3998">
              <w:rPr>
                <w:sz w:val="18"/>
                <w:szCs w:val="18"/>
              </w:rPr>
              <w:t>T</w:t>
            </w:r>
            <w:r>
              <w:rPr>
                <w:sz w:val="18"/>
                <w:szCs w:val="18"/>
              </w:rPr>
              <w:t xml:space="preserve">he </w:t>
            </w:r>
            <w:r w:rsidRPr="00B27D15">
              <w:rPr>
                <w:sz w:val="18"/>
                <w:szCs w:val="18"/>
              </w:rPr>
              <w:t xml:space="preserve">proportion of </w:t>
            </w:r>
            <w:r>
              <w:rPr>
                <w:sz w:val="18"/>
                <w:szCs w:val="18"/>
              </w:rPr>
              <w:t xml:space="preserve">staff in hotels and restaurants reported not to be fully proficient </w:t>
            </w:r>
            <w:r w:rsidR="000A3998">
              <w:rPr>
                <w:sz w:val="18"/>
                <w:szCs w:val="18"/>
              </w:rPr>
              <w:t>wa</w:t>
            </w:r>
            <w:r w:rsidRPr="00B27D15">
              <w:rPr>
                <w:sz w:val="18"/>
                <w:szCs w:val="18"/>
              </w:rPr>
              <w:t>s twice the LEP average.</w:t>
            </w:r>
            <w:r w:rsidRPr="00922D0F">
              <w:rPr>
                <w:sz w:val="18"/>
                <w:szCs w:val="18"/>
              </w:rPr>
              <w:t xml:space="preserve"> </w:t>
            </w:r>
            <w:r>
              <w:rPr>
                <w:sz w:val="18"/>
                <w:szCs w:val="18"/>
              </w:rPr>
              <w:t xml:space="preserve"> </w:t>
            </w:r>
          </w:p>
          <w:p w:rsidR="00240D18" w:rsidRPr="00922D0F" w:rsidRDefault="00240D18" w:rsidP="000A3998">
            <w:pPr>
              <w:pStyle w:val="normalnumbered"/>
              <w:numPr>
                <w:ilvl w:val="0"/>
                <w:numId w:val="24"/>
              </w:numPr>
              <w:spacing w:after="120" w:line="264" w:lineRule="auto"/>
              <w:ind w:right="176"/>
              <w:rPr>
                <w:sz w:val="18"/>
                <w:szCs w:val="18"/>
              </w:rPr>
            </w:pPr>
            <w:r>
              <w:rPr>
                <w:sz w:val="18"/>
                <w:szCs w:val="18"/>
              </w:rPr>
              <w:t xml:space="preserve">Managerial skills gaps are common in the visitor economy. The </w:t>
            </w:r>
            <w:r w:rsidRPr="005A10E5">
              <w:rPr>
                <w:sz w:val="18"/>
                <w:szCs w:val="18"/>
              </w:rPr>
              <w:t xml:space="preserve">young workforce and high turnover rates mean that employees who remain within the workforce often find themselves progressing into senior positions at a faster rate than they might do in other sectors. </w:t>
            </w:r>
            <w:r w:rsidR="00EB5CEA">
              <w:rPr>
                <w:sz w:val="18"/>
                <w:szCs w:val="18"/>
              </w:rPr>
              <w:t>T</w:t>
            </w:r>
            <w:r w:rsidRPr="005A10E5">
              <w:rPr>
                <w:sz w:val="18"/>
                <w:szCs w:val="18"/>
              </w:rPr>
              <w:t>his offers a degree of social mobility</w:t>
            </w:r>
            <w:r w:rsidR="00EB5CEA">
              <w:rPr>
                <w:sz w:val="18"/>
                <w:szCs w:val="18"/>
              </w:rPr>
              <w:t xml:space="preserve"> but </w:t>
            </w:r>
            <w:r w:rsidRPr="005A10E5">
              <w:rPr>
                <w:sz w:val="18"/>
                <w:szCs w:val="18"/>
              </w:rPr>
              <w:t>can also lead to inexperienced managers</w:t>
            </w:r>
            <w:r>
              <w:rPr>
                <w:sz w:val="18"/>
                <w:szCs w:val="18"/>
              </w:rPr>
              <w:t>.</w:t>
            </w:r>
          </w:p>
          <w:p w:rsidR="00240D18" w:rsidRDefault="00240D18" w:rsidP="000A3998">
            <w:pPr>
              <w:pStyle w:val="normalnumbered"/>
              <w:numPr>
                <w:ilvl w:val="0"/>
                <w:numId w:val="24"/>
              </w:numPr>
              <w:spacing w:after="120" w:line="264" w:lineRule="auto"/>
              <w:ind w:right="176"/>
              <w:rPr>
                <w:sz w:val="18"/>
                <w:szCs w:val="18"/>
              </w:rPr>
            </w:pPr>
            <w:r>
              <w:rPr>
                <w:sz w:val="18"/>
                <w:szCs w:val="18"/>
              </w:rPr>
              <w:t xml:space="preserve">Whilst the proportion of businesses able to accept online bookings is increasing, it is estimated that more than a quarter of bed and breakfast establishments (nationally) are still unable to do so. Anecdotal feedback provided for this study points to an opportunity for smaller </w:t>
            </w:r>
            <w:r w:rsidR="00EB5CEA">
              <w:rPr>
                <w:sz w:val="18"/>
                <w:szCs w:val="18"/>
              </w:rPr>
              <w:t xml:space="preserve">visitor economy </w:t>
            </w:r>
            <w:r>
              <w:rPr>
                <w:sz w:val="18"/>
                <w:szCs w:val="18"/>
              </w:rPr>
              <w:t xml:space="preserve">businesses in </w:t>
            </w:r>
            <w:r w:rsidR="00EB5CEA">
              <w:rPr>
                <w:sz w:val="18"/>
                <w:szCs w:val="18"/>
              </w:rPr>
              <w:t xml:space="preserve">Lancashire </w:t>
            </w:r>
            <w:r>
              <w:rPr>
                <w:sz w:val="18"/>
                <w:szCs w:val="18"/>
              </w:rPr>
              <w:t xml:space="preserve">to become more skilled at e-commerce, online marketing and social media.       </w:t>
            </w:r>
          </w:p>
          <w:p w:rsidR="00240D18" w:rsidRPr="00240D18" w:rsidRDefault="00240D18" w:rsidP="00EB5CEA">
            <w:pPr>
              <w:pStyle w:val="normalnumbered"/>
              <w:numPr>
                <w:ilvl w:val="0"/>
                <w:numId w:val="24"/>
              </w:numPr>
              <w:spacing w:after="120" w:line="264" w:lineRule="auto"/>
              <w:ind w:right="176"/>
              <w:rPr>
                <w:sz w:val="18"/>
                <w:szCs w:val="18"/>
              </w:rPr>
            </w:pPr>
            <w:r>
              <w:rPr>
                <w:sz w:val="18"/>
                <w:szCs w:val="18"/>
              </w:rPr>
              <w:t xml:space="preserve">Expectations of customer service in the visitor economy have risen considerably in recent years, yet many employers still report skills gaps in this area. Considerable efforts are being made </w:t>
            </w:r>
            <w:r w:rsidR="00EB5CEA">
              <w:rPr>
                <w:sz w:val="18"/>
                <w:szCs w:val="18"/>
              </w:rPr>
              <w:t>to address the issue in</w:t>
            </w:r>
            <w:r>
              <w:rPr>
                <w:sz w:val="18"/>
                <w:szCs w:val="18"/>
              </w:rPr>
              <w:t xml:space="preserve"> Lancashire and it is important that these be continued and, where appropriate, expanded to ensure that the local visitor economy keeps pace with other parts of the country and responds to evolving consumer demands.   </w:t>
            </w:r>
            <w:r w:rsidRPr="00240D18">
              <w:rPr>
                <w:sz w:val="18"/>
                <w:szCs w:val="18"/>
              </w:rPr>
              <w:t xml:space="preserve"> </w:t>
            </w:r>
          </w:p>
        </w:tc>
      </w:tr>
    </w:tbl>
    <w:p w:rsidR="00240D18" w:rsidRDefault="00240D18" w:rsidP="00240D18">
      <w:pPr>
        <w:pStyle w:val="normalnumbered"/>
        <w:tabs>
          <w:tab w:val="clear" w:pos="2666"/>
        </w:tabs>
        <w:spacing w:after="120" w:line="264" w:lineRule="auto"/>
        <w:ind w:left="1112" w:right="40" w:firstLine="0"/>
        <w:rPr>
          <w:sz w:val="2"/>
          <w:szCs w:val="2"/>
        </w:rPr>
      </w:pPr>
    </w:p>
    <w:p w:rsidR="00240D18" w:rsidRDefault="00240D18" w:rsidP="00240D18">
      <w:pPr>
        <w:pStyle w:val="normalnumbered"/>
        <w:tabs>
          <w:tab w:val="clear" w:pos="2666"/>
        </w:tabs>
        <w:spacing w:after="120" w:line="264" w:lineRule="auto"/>
        <w:ind w:left="1112" w:right="40" w:firstLine="0"/>
        <w:rPr>
          <w:sz w:val="2"/>
          <w:szCs w:val="2"/>
        </w:rPr>
      </w:pPr>
    </w:p>
    <w:p w:rsidR="00240D18" w:rsidRDefault="00240D18" w:rsidP="00583593">
      <w:pPr>
        <w:pStyle w:val="normalnumbered"/>
        <w:tabs>
          <w:tab w:val="clear" w:pos="2666"/>
        </w:tabs>
        <w:spacing w:line="264" w:lineRule="auto"/>
        <w:ind w:left="0" w:right="40" w:firstLine="0"/>
        <w:rPr>
          <w:rFonts w:ascii="Arial Bold" w:hAnsi="Arial Bold" w:cs="Arial"/>
          <w:b/>
          <w:bCs/>
          <w:iCs/>
          <w:color w:val="6C2768"/>
          <w:sz w:val="22"/>
          <w:szCs w:val="22"/>
        </w:rPr>
      </w:pPr>
    </w:p>
    <w:p w:rsidR="00240D18" w:rsidRDefault="00240D18" w:rsidP="00583593">
      <w:pPr>
        <w:pStyle w:val="normalnumbered"/>
        <w:tabs>
          <w:tab w:val="clear" w:pos="2666"/>
        </w:tabs>
        <w:spacing w:line="264" w:lineRule="auto"/>
        <w:ind w:left="0" w:right="40" w:firstLine="0"/>
        <w:rPr>
          <w:rFonts w:ascii="Arial Bold" w:hAnsi="Arial Bold" w:cs="Arial"/>
          <w:b/>
          <w:bCs/>
          <w:iCs/>
          <w:color w:val="6C2768"/>
          <w:sz w:val="22"/>
          <w:szCs w:val="22"/>
        </w:rPr>
      </w:pPr>
    </w:p>
    <w:p w:rsidR="000472FE" w:rsidRPr="000F6D5D" w:rsidRDefault="0053717A" w:rsidP="00583593">
      <w:pPr>
        <w:pStyle w:val="normalnumbered"/>
        <w:tabs>
          <w:tab w:val="clear" w:pos="2666"/>
        </w:tabs>
        <w:spacing w:line="264" w:lineRule="auto"/>
        <w:ind w:left="0" w:right="40" w:firstLine="0"/>
        <w:rPr>
          <w:rFonts w:ascii="Arial Bold" w:hAnsi="Arial Bold" w:cs="Arial"/>
          <w:b/>
          <w:bCs/>
          <w:iCs/>
          <w:color w:val="6C2768"/>
          <w:sz w:val="22"/>
          <w:szCs w:val="22"/>
        </w:rPr>
      </w:pPr>
      <w:r w:rsidRPr="000F6D5D">
        <w:rPr>
          <w:rFonts w:ascii="Arial Bold" w:hAnsi="Arial Bold" w:cs="Arial"/>
          <w:b/>
          <w:bCs/>
          <w:iCs/>
          <w:color w:val="6C2768"/>
          <w:sz w:val="22"/>
          <w:szCs w:val="22"/>
        </w:rPr>
        <w:lastRenderedPageBreak/>
        <w:t>National H</w:t>
      </w:r>
      <w:r w:rsidR="000472FE" w:rsidRPr="000F6D5D">
        <w:rPr>
          <w:rFonts w:ascii="Arial Bold" w:hAnsi="Arial Bold" w:cs="Arial"/>
          <w:b/>
          <w:bCs/>
          <w:iCs/>
          <w:color w:val="6C2768"/>
          <w:sz w:val="22"/>
          <w:szCs w:val="22"/>
        </w:rPr>
        <w:t>eadline</w:t>
      </w:r>
      <w:r w:rsidRPr="000F6D5D">
        <w:rPr>
          <w:rFonts w:ascii="Arial Bold" w:hAnsi="Arial Bold" w:cs="Arial"/>
          <w:b/>
          <w:bCs/>
          <w:iCs/>
          <w:color w:val="6C2768"/>
          <w:sz w:val="22"/>
          <w:szCs w:val="22"/>
        </w:rPr>
        <w:t>s</w:t>
      </w:r>
      <w:r w:rsidR="00FF6631">
        <w:rPr>
          <w:rStyle w:val="FootnoteReference"/>
          <w:rFonts w:ascii="Arial Bold" w:hAnsi="Arial Bold" w:cs="Arial"/>
          <w:b/>
          <w:bCs/>
          <w:iCs/>
          <w:color w:val="6C2768"/>
          <w:sz w:val="22"/>
          <w:szCs w:val="22"/>
        </w:rPr>
        <w:footnoteReference w:id="44"/>
      </w:r>
      <w:r w:rsidRPr="000F6D5D">
        <w:rPr>
          <w:rFonts w:ascii="Arial Bold" w:hAnsi="Arial Bold" w:cs="Arial"/>
          <w:b/>
          <w:bCs/>
          <w:iCs/>
          <w:color w:val="6C2768"/>
          <w:sz w:val="22"/>
          <w:szCs w:val="22"/>
        </w:rPr>
        <w:t xml:space="preserve"> </w:t>
      </w:r>
    </w:p>
    <w:p w:rsidR="008059AB" w:rsidRDefault="00583593" w:rsidP="00583593">
      <w:pPr>
        <w:pStyle w:val="normalnumbered"/>
        <w:numPr>
          <w:ilvl w:val="1"/>
          <w:numId w:val="1"/>
        </w:numPr>
        <w:tabs>
          <w:tab w:val="clear" w:pos="2666"/>
          <w:tab w:val="num" w:pos="709"/>
        </w:tabs>
        <w:spacing w:line="264" w:lineRule="auto"/>
        <w:ind w:left="0" w:right="40" w:firstLine="0"/>
        <w:rPr>
          <w:sz w:val="18"/>
          <w:szCs w:val="18"/>
        </w:rPr>
      </w:pPr>
      <w:r w:rsidRPr="00583593">
        <w:rPr>
          <w:sz w:val="18"/>
          <w:szCs w:val="18"/>
        </w:rPr>
        <w:t xml:space="preserve">A skills gap occurs where staff are reported </w:t>
      </w:r>
      <w:r w:rsidR="008059AB">
        <w:rPr>
          <w:sz w:val="18"/>
          <w:szCs w:val="18"/>
        </w:rPr>
        <w:t xml:space="preserve">not </w:t>
      </w:r>
      <w:r w:rsidRPr="00583593">
        <w:rPr>
          <w:sz w:val="18"/>
          <w:szCs w:val="18"/>
        </w:rPr>
        <w:t xml:space="preserve">to </w:t>
      </w:r>
      <w:r w:rsidR="008059AB">
        <w:rPr>
          <w:sz w:val="18"/>
          <w:szCs w:val="18"/>
        </w:rPr>
        <w:t xml:space="preserve">be </w:t>
      </w:r>
      <w:r w:rsidRPr="00583593">
        <w:rPr>
          <w:sz w:val="18"/>
          <w:szCs w:val="18"/>
        </w:rPr>
        <w:t xml:space="preserve">fully proficient at their jobs. Nationally, </w:t>
      </w:r>
      <w:r w:rsidR="00B27D15">
        <w:rPr>
          <w:sz w:val="18"/>
          <w:szCs w:val="18"/>
        </w:rPr>
        <w:t xml:space="preserve">the evidence suggests that </w:t>
      </w:r>
      <w:r w:rsidRPr="00583593">
        <w:rPr>
          <w:sz w:val="18"/>
          <w:szCs w:val="18"/>
        </w:rPr>
        <w:t xml:space="preserve">skills gaps in the visitor economy are distinctly more prevalent than they are across </w:t>
      </w:r>
      <w:r w:rsidR="008059AB">
        <w:rPr>
          <w:sz w:val="18"/>
          <w:szCs w:val="18"/>
        </w:rPr>
        <w:t>the economy as a whole</w:t>
      </w:r>
      <w:r w:rsidR="00B27D15">
        <w:rPr>
          <w:sz w:val="18"/>
          <w:szCs w:val="18"/>
        </w:rPr>
        <w:t xml:space="preserve">.  For example: </w:t>
      </w:r>
      <w:r w:rsidR="008059AB">
        <w:rPr>
          <w:sz w:val="18"/>
          <w:szCs w:val="18"/>
        </w:rPr>
        <w:t xml:space="preserve"> </w:t>
      </w:r>
    </w:p>
    <w:p w:rsidR="00583593" w:rsidRDefault="00583593" w:rsidP="008059AB">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8059AB">
        <w:rPr>
          <w:rFonts w:ascii="Arial" w:hAnsi="Arial" w:cs="Arial"/>
          <w:sz w:val="18"/>
          <w:szCs w:val="18"/>
        </w:rPr>
        <w:t>The UKCES 2012 Sector Skills Assessment</w:t>
      </w:r>
      <w:r w:rsidRPr="008059AB">
        <w:rPr>
          <w:rStyle w:val="FootnoteReference"/>
          <w:rFonts w:ascii="Arial" w:hAnsi="Arial" w:cs="Arial"/>
          <w:sz w:val="18"/>
          <w:szCs w:val="18"/>
        </w:rPr>
        <w:footnoteReference w:id="45"/>
      </w:r>
      <w:r w:rsidR="008059AB">
        <w:rPr>
          <w:rFonts w:ascii="Arial" w:hAnsi="Arial" w:cs="Arial"/>
          <w:sz w:val="18"/>
          <w:szCs w:val="18"/>
        </w:rPr>
        <w:t>, which use</w:t>
      </w:r>
      <w:r w:rsidR="00B27D15">
        <w:rPr>
          <w:rFonts w:ascii="Arial" w:hAnsi="Arial" w:cs="Arial"/>
          <w:sz w:val="18"/>
          <w:szCs w:val="18"/>
        </w:rPr>
        <w:t>s a classification of ‘hospitality, tourism and sport’</w:t>
      </w:r>
      <w:r w:rsidR="008059AB">
        <w:rPr>
          <w:rFonts w:ascii="Arial" w:hAnsi="Arial" w:cs="Arial"/>
          <w:sz w:val="18"/>
          <w:szCs w:val="18"/>
        </w:rPr>
        <w:t xml:space="preserve">, found that a fifth </w:t>
      </w:r>
      <w:r w:rsidRPr="008059AB">
        <w:rPr>
          <w:rFonts w:ascii="Arial" w:hAnsi="Arial" w:cs="Arial"/>
          <w:sz w:val="18"/>
          <w:szCs w:val="18"/>
        </w:rPr>
        <w:t>of</w:t>
      </w:r>
      <w:r w:rsidR="00B27D15">
        <w:rPr>
          <w:rFonts w:ascii="Arial" w:hAnsi="Arial" w:cs="Arial"/>
          <w:sz w:val="18"/>
          <w:szCs w:val="18"/>
        </w:rPr>
        <w:t xml:space="preserve"> these businesses reported</w:t>
      </w:r>
      <w:r w:rsidRPr="008059AB">
        <w:rPr>
          <w:rFonts w:ascii="Arial" w:hAnsi="Arial" w:cs="Arial"/>
          <w:sz w:val="18"/>
          <w:szCs w:val="18"/>
        </w:rPr>
        <w:t xml:space="preserve"> skills gaps, compared with </w:t>
      </w:r>
      <w:r w:rsidR="000F6D5D">
        <w:rPr>
          <w:rFonts w:ascii="Arial" w:hAnsi="Arial" w:cs="Arial"/>
          <w:sz w:val="18"/>
          <w:szCs w:val="18"/>
        </w:rPr>
        <w:t xml:space="preserve">an all-sector average of </w:t>
      </w:r>
      <w:r w:rsidRPr="008059AB">
        <w:rPr>
          <w:rFonts w:ascii="Arial" w:hAnsi="Arial" w:cs="Arial"/>
          <w:sz w:val="18"/>
          <w:szCs w:val="18"/>
        </w:rPr>
        <w:t xml:space="preserve">13%. The proportion of employees with skills gaps </w:t>
      </w:r>
      <w:r w:rsidR="00B27D15">
        <w:rPr>
          <w:rFonts w:ascii="Arial" w:hAnsi="Arial" w:cs="Arial"/>
          <w:sz w:val="18"/>
          <w:szCs w:val="18"/>
        </w:rPr>
        <w:t xml:space="preserve">in these businesses was estimated at </w:t>
      </w:r>
      <w:r w:rsidRPr="008059AB">
        <w:rPr>
          <w:rFonts w:ascii="Arial" w:hAnsi="Arial" w:cs="Arial"/>
          <w:sz w:val="18"/>
          <w:szCs w:val="18"/>
        </w:rPr>
        <w:t>8%</w:t>
      </w:r>
      <w:r w:rsidR="00B27D15">
        <w:rPr>
          <w:rFonts w:ascii="Arial" w:hAnsi="Arial" w:cs="Arial"/>
          <w:sz w:val="18"/>
          <w:szCs w:val="18"/>
        </w:rPr>
        <w:t xml:space="preserve">, </w:t>
      </w:r>
      <w:r w:rsidRPr="008059AB">
        <w:rPr>
          <w:rFonts w:ascii="Arial" w:hAnsi="Arial" w:cs="Arial"/>
          <w:sz w:val="18"/>
          <w:szCs w:val="18"/>
        </w:rPr>
        <w:t xml:space="preserve">which was also considerably </w:t>
      </w:r>
      <w:r w:rsidR="000F6D5D">
        <w:rPr>
          <w:rFonts w:ascii="Arial" w:hAnsi="Arial" w:cs="Arial"/>
          <w:sz w:val="18"/>
          <w:szCs w:val="18"/>
        </w:rPr>
        <w:t xml:space="preserve">higher </w:t>
      </w:r>
      <w:r w:rsidRPr="008059AB">
        <w:rPr>
          <w:rFonts w:ascii="Arial" w:hAnsi="Arial" w:cs="Arial"/>
          <w:sz w:val="18"/>
          <w:szCs w:val="18"/>
        </w:rPr>
        <w:t xml:space="preserve">than the all-sector figure of 5%.  </w:t>
      </w:r>
      <w:r w:rsidR="000F6D5D">
        <w:rPr>
          <w:rFonts w:ascii="Arial" w:hAnsi="Arial" w:cs="Arial"/>
          <w:sz w:val="18"/>
          <w:szCs w:val="18"/>
        </w:rPr>
        <w:t xml:space="preserve">It was also </w:t>
      </w:r>
      <w:r w:rsidRPr="008059AB">
        <w:rPr>
          <w:rFonts w:ascii="Arial" w:hAnsi="Arial" w:cs="Arial"/>
          <w:sz w:val="18"/>
          <w:szCs w:val="18"/>
        </w:rPr>
        <w:t xml:space="preserve">higher than in any other sector. </w:t>
      </w:r>
    </w:p>
    <w:p w:rsidR="00944DB7" w:rsidRDefault="008059AB" w:rsidP="001B5F69">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B27D15">
        <w:rPr>
          <w:rFonts w:ascii="Arial" w:hAnsi="Arial" w:cs="Arial"/>
          <w:sz w:val="18"/>
          <w:szCs w:val="18"/>
        </w:rPr>
        <w:t>The 2013 UK Employer Skills Survey</w:t>
      </w:r>
      <w:r w:rsidR="00B27D15">
        <w:rPr>
          <w:rFonts w:ascii="Arial" w:hAnsi="Arial" w:cs="Arial"/>
          <w:sz w:val="18"/>
          <w:szCs w:val="18"/>
        </w:rPr>
        <w:t xml:space="preserve"> paints a similar picture for hotels and restaurants </w:t>
      </w:r>
      <w:r w:rsidR="00944DB7" w:rsidRPr="00B27D15">
        <w:rPr>
          <w:rFonts w:ascii="Arial" w:hAnsi="Arial" w:cs="Arial"/>
          <w:sz w:val="18"/>
          <w:szCs w:val="18"/>
        </w:rPr>
        <w:t xml:space="preserve">and shows that 23% of </w:t>
      </w:r>
      <w:r w:rsidR="00B27D15">
        <w:rPr>
          <w:rFonts w:ascii="Arial" w:hAnsi="Arial" w:cs="Arial"/>
          <w:sz w:val="18"/>
          <w:szCs w:val="18"/>
        </w:rPr>
        <w:t xml:space="preserve">these businesses nationally </w:t>
      </w:r>
      <w:r w:rsidR="00944DB7" w:rsidRPr="00B27D15">
        <w:rPr>
          <w:rFonts w:ascii="Arial" w:hAnsi="Arial" w:cs="Arial"/>
          <w:sz w:val="18"/>
          <w:szCs w:val="18"/>
        </w:rPr>
        <w:t>had skills gaps against a</w:t>
      </w:r>
      <w:r w:rsidR="00B27D15">
        <w:rPr>
          <w:rFonts w:ascii="Arial" w:hAnsi="Arial" w:cs="Arial"/>
          <w:sz w:val="18"/>
          <w:szCs w:val="18"/>
        </w:rPr>
        <w:t xml:space="preserve">n all-sector average </w:t>
      </w:r>
      <w:r w:rsidR="00944DB7" w:rsidRPr="00B27D15">
        <w:rPr>
          <w:rFonts w:ascii="Arial" w:hAnsi="Arial" w:cs="Arial"/>
          <w:sz w:val="18"/>
          <w:szCs w:val="18"/>
        </w:rPr>
        <w:t>of 17%</w:t>
      </w:r>
      <w:r w:rsidR="00B27D15">
        <w:rPr>
          <w:rFonts w:ascii="Arial" w:hAnsi="Arial" w:cs="Arial"/>
          <w:sz w:val="18"/>
          <w:szCs w:val="18"/>
        </w:rPr>
        <w:t xml:space="preserve"> (see table </w:t>
      </w:r>
      <w:r w:rsidR="00FE28FE">
        <w:rPr>
          <w:rFonts w:ascii="Arial" w:hAnsi="Arial" w:cs="Arial"/>
          <w:sz w:val="18"/>
          <w:szCs w:val="18"/>
        </w:rPr>
        <w:t>below</w:t>
      </w:r>
      <w:r w:rsidR="00B27D15">
        <w:rPr>
          <w:rFonts w:ascii="Arial" w:hAnsi="Arial" w:cs="Arial"/>
          <w:sz w:val="18"/>
          <w:szCs w:val="18"/>
        </w:rPr>
        <w:t>)</w:t>
      </w:r>
      <w:r w:rsidR="000F6D5D" w:rsidRPr="00B27D15">
        <w:rPr>
          <w:rFonts w:ascii="Arial" w:hAnsi="Arial" w:cs="Arial"/>
          <w:sz w:val="18"/>
          <w:szCs w:val="18"/>
        </w:rPr>
        <w:t xml:space="preserve">.  It also reports that </w:t>
      </w:r>
      <w:r w:rsidR="00944DB7" w:rsidRPr="00B27D15">
        <w:rPr>
          <w:rFonts w:ascii="Arial" w:hAnsi="Arial" w:cs="Arial"/>
          <w:sz w:val="18"/>
          <w:szCs w:val="18"/>
        </w:rPr>
        <w:t>9% of the hotels and restaurant workforce was deemed not fully proficient compared with 5.5% nationally. Sales and customer service roles, machine operatives and elementary occupations</w:t>
      </w:r>
      <w:r w:rsidR="00944DB7">
        <w:rPr>
          <w:rFonts w:ascii="Arial" w:hAnsi="Arial" w:cs="Arial"/>
          <w:sz w:val="18"/>
          <w:szCs w:val="18"/>
        </w:rPr>
        <w:t xml:space="preserve"> are those within which staff are the most likely to be deemed not fully proficient. </w:t>
      </w:r>
    </w:p>
    <w:p w:rsidR="002E37BF" w:rsidRDefault="002E37BF" w:rsidP="002E37BF">
      <w:pPr>
        <w:pStyle w:val="ListParagraph"/>
        <w:spacing w:before="120" w:after="120" w:line="264" w:lineRule="auto"/>
        <w:ind w:left="284"/>
        <w:contextualSpacing w:val="0"/>
        <w:jc w:val="both"/>
        <w:rPr>
          <w:rFonts w:ascii="Arial" w:hAnsi="Arial" w:cs="Arial"/>
          <w:sz w:val="18"/>
          <w:szCs w:val="18"/>
        </w:rPr>
      </w:pPr>
    </w:p>
    <w:p w:rsidR="002E37BF" w:rsidRDefault="002E37BF" w:rsidP="002E37BF">
      <w:pPr>
        <w:pStyle w:val="ListParagraph"/>
        <w:spacing w:before="120" w:after="120" w:line="264" w:lineRule="auto"/>
        <w:ind w:left="284"/>
        <w:contextualSpacing w:val="0"/>
        <w:jc w:val="both"/>
        <w:rPr>
          <w:rFonts w:ascii="Arial" w:hAnsi="Arial" w:cs="Arial"/>
          <w:sz w:val="18"/>
          <w:szCs w:val="18"/>
        </w:rPr>
      </w:pPr>
    </w:p>
    <w:p w:rsidR="002E37BF" w:rsidRDefault="002E37BF" w:rsidP="002E37BF">
      <w:pPr>
        <w:pStyle w:val="ListParagraph"/>
        <w:spacing w:before="120" w:after="120" w:line="264" w:lineRule="auto"/>
        <w:ind w:left="284"/>
        <w:contextualSpacing w:val="0"/>
        <w:jc w:val="both"/>
        <w:rPr>
          <w:rFonts w:ascii="Arial" w:hAnsi="Arial" w:cs="Arial"/>
          <w:sz w:val="18"/>
          <w:szCs w:val="18"/>
        </w:rPr>
      </w:pPr>
    </w:p>
    <w:p w:rsidR="002E37BF" w:rsidRDefault="002E37BF" w:rsidP="002E37BF">
      <w:pPr>
        <w:pStyle w:val="ListParagraph"/>
        <w:spacing w:before="120" w:after="120" w:line="264" w:lineRule="auto"/>
        <w:ind w:left="284"/>
        <w:contextualSpacing w:val="0"/>
        <w:jc w:val="both"/>
        <w:rPr>
          <w:rFonts w:ascii="Arial" w:hAnsi="Arial" w:cs="Arial"/>
          <w:sz w:val="18"/>
          <w:szCs w:val="18"/>
        </w:rPr>
      </w:pPr>
    </w:p>
    <w:p w:rsidR="00240D18" w:rsidRDefault="00240D18" w:rsidP="002E37BF">
      <w:pPr>
        <w:pStyle w:val="ListParagraph"/>
        <w:spacing w:before="120" w:after="120" w:line="264" w:lineRule="auto"/>
        <w:ind w:left="284"/>
        <w:contextualSpacing w:val="0"/>
        <w:jc w:val="both"/>
        <w:rPr>
          <w:rFonts w:ascii="Arial" w:hAnsi="Arial" w:cs="Arial"/>
          <w:sz w:val="18"/>
          <w:szCs w:val="18"/>
        </w:rPr>
      </w:pPr>
    </w:p>
    <w:p w:rsidR="00240D18" w:rsidRDefault="00240D18" w:rsidP="002E37BF">
      <w:pPr>
        <w:pStyle w:val="ListParagraph"/>
        <w:spacing w:before="120" w:after="120" w:line="264" w:lineRule="auto"/>
        <w:ind w:left="284"/>
        <w:contextualSpacing w:val="0"/>
        <w:jc w:val="both"/>
        <w:rPr>
          <w:rFonts w:ascii="Arial" w:hAnsi="Arial" w:cs="Arial"/>
          <w:sz w:val="18"/>
          <w:szCs w:val="18"/>
        </w:rPr>
      </w:pPr>
    </w:p>
    <w:p w:rsidR="002E37BF" w:rsidRDefault="002E37BF" w:rsidP="002E37BF">
      <w:pPr>
        <w:pStyle w:val="ListParagraph"/>
        <w:spacing w:before="120" w:after="120" w:line="264" w:lineRule="auto"/>
        <w:ind w:left="284"/>
        <w:contextualSpacing w:val="0"/>
        <w:jc w:val="both"/>
        <w:rPr>
          <w:rFonts w:ascii="Arial" w:hAnsi="Arial" w:cs="Arial"/>
          <w:sz w:val="18"/>
          <w:szCs w:val="18"/>
        </w:rPr>
      </w:pPr>
    </w:p>
    <w:p w:rsidR="002E37BF" w:rsidRDefault="002E37BF" w:rsidP="002E37BF">
      <w:pPr>
        <w:pStyle w:val="ListParagraph"/>
        <w:spacing w:before="120" w:after="120" w:line="264" w:lineRule="auto"/>
        <w:ind w:left="284"/>
        <w:contextualSpacing w:val="0"/>
        <w:jc w:val="both"/>
        <w:rPr>
          <w:rFonts w:ascii="Arial" w:hAnsi="Arial" w:cs="Arial"/>
          <w:sz w:val="18"/>
          <w:szCs w:val="18"/>
        </w:rPr>
      </w:pPr>
    </w:p>
    <w:p w:rsidR="000F6D5D" w:rsidRDefault="000F6D5D" w:rsidP="002E37BF">
      <w:pPr>
        <w:pStyle w:val="ListParagraph"/>
        <w:spacing w:before="120" w:after="120" w:line="264" w:lineRule="auto"/>
        <w:ind w:left="284"/>
        <w:contextualSpacing w:val="0"/>
        <w:jc w:val="both"/>
        <w:rPr>
          <w:rFonts w:ascii="Arial" w:hAnsi="Arial" w:cs="Arial"/>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673"/>
        <w:gridCol w:w="1701"/>
      </w:tblGrid>
      <w:tr w:rsidR="00726C42" w:rsidRPr="008A419C" w:rsidTr="00F525AD">
        <w:trPr>
          <w:cantSplit/>
          <w:trHeight w:val="255"/>
          <w:tblHeader/>
        </w:trPr>
        <w:tc>
          <w:tcPr>
            <w:tcW w:w="63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vAlign w:val="center"/>
          </w:tcPr>
          <w:p w:rsidR="00726C42" w:rsidRDefault="00A27508" w:rsidP="00FC15F3">
            <w:pPr>
              <w:rPr>
                <w:rFonts w:ascii="Arial" w:hAnsi="Arial" w:cs="Arial"/>
                <w:b/>
                <w:color w:val="FFFFFF" w:themeColor="background1"/>
                <w:sz w:val="18"/>
                <w:szCs w:val="18"/>
              </w:rPr>
            </w:pPr>
            <w:r>
              <w:rPr>
                <w:rFonts w:ascii="Arial" w:hAnsi="Arial" w:cs="Arial"/>
                <w:b/>
                <w:color w:val="FFFFFF" w:themeColor="background1"/>
                <w:sz w:val="18"/>
                <w:szCs w:val="18"/>
              </w:rPr>
              <w:lastRenderedPageBreak/>
              <w:t>I</w:t>
            </w:r>
            <w:r w:rsidR="00726C42">
              <w:rPr>
                <w:rFonts w:ascii="Arial" w:hAnsi="Arial" w:cs="Arial"/>
                <w:b/>
                <w:color w:val="FFFFFF" w:themeColor="background1"/>
                <w:sz w:val="18"/>
                <w:szCs w:val="18"/>
              </w:rPr>
              <w:t>ncidence of Skills Gaps by Sector</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FA0190" w:rsidRDefault="00726C42" w:rsidP="00A4122E">
            <w:pPr>
              <w:rPr>
                <w:rFonts w:ascii="Arial" w:hAnsi="Arial" w:cs="Arial"/>
                <w:b/>
                <w:color w:val="000000"/>
                <w:sz w:val="18"/>
                <w:szCs w:val="18"/>
              </w:rPr>
            </w:pPr>
            <w:r>
              <w:rPr>
                <w:rFonts w:ascii="Arial" w:hAnsi="Arial" w:cs="Arial"/>
                <w:b/>
                <w:color w:val="000000"/>
                <w:sz w:val="18"/>
                <w:szCs w:val="18"/>
              </w:rPr>
              <w:t>Sector</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FA0190" w:rsidRDefault="00726C42" w:rsidP="00FC15F3">
            <w:pPr>
              <w:jc w:val="right"/>
              <w:rPr>
                <w:rFonts w:ascii="Arial" w:hAnsi="Arial" w:cs="Arial"/>
                <w:b/>
                <w:color w:val="000000"/>
                <w:sz w:val="18"/>
                <w:szCs w:val="18"/>
              </w:rPr>
            </w:pPr>
            <w:r>
              <w:rPr>
                <w:rFonts w:ascii="Arial" w:hAnsi="Arial" w:cs="Arial"/>
                <w:b/>
                <w:color w:val="000000"/>
                <w:sz w:val="18"/>
                <w:szCs w:val="18"/>
              </w:rPr>
              <w:t>% establishments with skills gaps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26C42" w:rsidRDefault="00726C42" w:rsidP="00FC15F3">
            <w:pPr>
              <w:jc w:val="right"/>
              <w:rPr>
                <w:rFonts w:ascii="Arial" w:hAnsi="Arial" w:cs="Arial"/>
                <w:b/>
                <w:color w:val="000000"/>
                <w:sz w:val="18"/>
                <w:szCs w:val="18"/>
              </w:rPr>
            </w:pPr>
            <w:r>
              <w:rPr>
                <w:rFonts w:ascii="Arial" w:hAnsi="Arial" w:cs="Arial"/>
                <w:b/>
                <w:color w:val="000000"/>
                <w:sz w:val="18"/>
                <w:szCs w:val="18"/>
              </w:rPr>
              <w:t>% staff reported as having skills gaps</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UK (all sectors)</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726C42" w:rsidP="00FC15F3">
            <w:pPr>
              <w:jc w:val="right"/>
              <w:rPr>
                <w:rFonts w:ascii="Arial" w:hAnsi="Arial" w:cs="Arial"/>
                <w:color w:val="000000"/>
                <w:sz w:val="18"/>
                <w:szCs w:val="18"/>
              </w:rPr>
            </w:pPr>
            <w:r>
              <w:rPr>
                <w:rFonts w:ascii="Arial" w:hAnsi="Arial" w:cs="Arial"/>
                <w:color w:val="000000"/>
                <w:sz w:val="18"/>
                <w:szCs w:val="18"/>
              </w:rPr>
              <w:t>17%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FC15F3">
            <w:pPr>
              <w:jc w:val="right"/>
              <w:rPr>
                <w:rFonts w:ascii="Arial" w:hAnsi="Arial" w:cs="Arial"/>
                <w:color w:val="000000"/>
                <w:sz w:val="18"/>
                <w:szCs w:val="18"/>
              </w:rPr>
            </w:pPr>
            <w:r>
              <w:rPr>
                <w:rFonts w:ascii="Arial" w:hAnsi="Arial" w:cs="Arial"/>
                <w:color w:val="000000"/>
                <w:sz w:val="18"/>
                <w:szCs w:val="18"/>
              </w:rPr>
              <w:t>5.5%</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Hotels and Restaurants</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726C42" w:rsidRPr="006B5960" w:rsidRDefault="00726C42" w:rsidP="00FC15F3">
            <w:pPr>
              <w:jc w:val="right"/>
              <w:rPr>
                <w:rFonts w:ascii="Arial" w:hAnsi="Arial" w:cs="Arial"/>
                <w:color w:val="000000"/>
                <w:sz w:val="18"/>
                <w:szCs w:val="18"/>
              </w:rPr>
            </w:pPr>
            <w:r>
              <w:rPr>
                <w:rFonts w:ascii="Arial" w:hAnsi="Arial" w:cs="Arial"/>
                <w:color w:val="000000"/>
                <w:sz w:val="18"/>
                <w:szCs w:val="18"/>
              </w:rPr>
              <w:t>23%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726C42" w:rsidRPr="006B5960" w:rsidRDefault="00726C42" w:rsidP="00FC15F3">
            <w:pPr>
              <w:jc w:val="right"/>
              <w:rPr>
                <w:rFonts w:ascii="Arial" w:hAnsi="Arial" w:cs="Arial"/>
                <w:color w:val="000000"/>
                <w:sz w:val="18"/>
                <w:szCs w:val="18"/>
              </w:rPr>
            </w:pPr>
            <w:r>
              <w:rPr>
                <w:rFonts w:ascii="Arial" w:hAnsi="Arial" w:cs="Arial"/>
                <w:color w:val="000000"/>
                <w:sz w:val="18"/>
                <w:szCs w:val="18"/>
              </w:rPr>
              <w:t>9</w:t>
            </w:r>
            <w:r w:rsidR="001B5F69">
              <w:rPr>
                <w:rFonts w:ascii="Arial" w:hAnsi="Arial" w:cs="Arial"/>
                <w:color w:val="000000"/>
                <w:sz w:val="18"/>
                <w:szCs w:val="18"/>
              </w:rPr>
              <w:t>.0</w:t>
            </w:r>
            <w:r>
              <w:rPr>
                <w:rFonts w:ascii="Arial" w:hAnsi="Arial" w:cs="Arial"/>
                <w:color w:val="000000"/>
                <w:sz w:val="18"/>
                <w:szCs w:val="18"/>
              </w:rPr>
              <w:t>%</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726C42" w:rsidP="00A4122E">
            <w:pPr>
              <w:rPr>
                <w:rFonts w:ascii="Arial" w:hAnsi="Arial" w:cs="Arial"/>
                <w:color w:val="000000"/>
                <w:sz w:val="18"/>
                <w:szCs w:val="18"/>
              </w:rPr>
            </w:pPr>
            <w:r>
              <w:rPr>
                <w:rFonts w:ascii="Arial" w:hAnsi="Arial" w:cs="Arial"/>
                <w:color w:val="000000"/>
                <w:sz w:val="18"/>
                <w:szCs w:val="18"/>
              </w:rPr>
              <w:t xml:space="preserve">Agriculture </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4.6%</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726C42" w:rsidP="00A4122E">
            <w:pPr>
              <w:rPr>
                <w:rFonts w:ascii="Arial" w:hAnsi="Arial" w:cs="Arial"/>
                <w:color w:val="000000"/>
                <w:sz w:val="18"/>
                <w:szCs w:val="18"/>
              </w:rPr>
            </w:pPr>
            <w:r>
              <w:rPr>
                <w:rFonts w:ascii="Arial" w:hAnsi="Arial" w:cs="Arial"/>
                <w:color w:val="000000"/>
                <w:sz w:val="18"/>
                <w:szCs w:val="18"/>
              </w:rPr>
              <w:t>Mining and Quarrying</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3.1%</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726C42" w:rsidP="00A4122E">
            <w:pPr>
              <w:rPr>
                <w:rFonts w:ascii="Arial" w:hAnsi="Arial" w:cs="Arial"/>
                <w:color w:val="000000"/>
                <w:sz w:val="18"/>
                <w:szCs w:val="18"/>
              </w:rPr>
            </w:pPr>
            <w:r>
              <w:rPr>
                <w:rFonts w:ascii="Arial" w:hAnsi="Arial" w:cs="Arial"/>
                <w:color w:val="000000"/>
                <w:sz w:val="18"/>
                <w:szCs w:val="18"/>
              </w:rPr>
              <w:t xml:space="preserve">Manufacturing </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20%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6.0%</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Electricity, Gas and Water</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5.6%</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Construction</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4.8%</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 xml:space="preserve">Wholesale and Retail </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6.6%</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Transport and Communications</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4.6%</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Financial Services</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21%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4.4%</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 xml:space="preserve">Business Services </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5.1%</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Public Administration</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23%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5.3%</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 xml:space="preserve">Education </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22%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3.8%</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Health and Social Work</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20%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5.2%</w:t>
            </w:r>
          </w:p>
        </w:tc>
      </w:tr>
      <w:tr w:rsidR="00726C42" w:rsidRPr="008A419C" w:rsidTr="00F525AD">
        <w:trPr>
          <w:cantSplit/>
          <w:trHeight w:val="255"/>
        </w:trPr>
        <w:tc>
          <w:tcPr>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Default="00726C42" w:rsidP="00A4122E">
            <w:pPr>
              <w:rPr>
                <w:rFonts w:ascii="Arial" w:hAnsi="Arial" w:cs="Arial"/>
                <w:color w:val="000000"/>
                <w:sz w:val="18"/>
                <w:szCs w:val="18"/>
              </w:rPr>
            </w:pPr>
            <w:r>
              <w:rPr>
                <w:rFonts w:ascii="Arial" w:hAnsi="Arial" w:cs="Arial"/>
                <w:color w:val="000000"/>
                <w:sz w:val="18"/>
                <w:szCs w:val="18"/>
              </w:rPr>
              <w:t>Community, Social and Personal Services and Activities</w:t>
            </w:r>
          </w:p>
        </w:tc>
        <w:tc>
          <w:tcPr>
            <w:tcW w:w="1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16%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26C42" w:rsidRPr="006B5960" w:rsidRDefault="001B5F69" w:rsidP="00FC15F3">
            <w:pPr>
              <w:jc w:val="right"/>
              <w:rPr>
                <w:rFonts w:ascii="Arial" w:hAnsi="Arial" w:cs="Arial"/>
                <w:color w:val="000000"/>
                <w:sz w:val="18"/>
                <w:szCs w:val="18"/>
              </w:rPr>
            </w:pPr>
            <w:r>
              <w:rPr>
                <w:rFonts w:ascii="Arial" w:hAnsi="Arial" w:cs="Arial"/>
                <w:color w:val="000000"/>
                <w:sz w:val="18"/>
                <w:szCs w:val="18"/>
              </w:rPr>
              <w:t>5.6%</w:t>
            </w:r>
          </w:p>
        </w:tc>
      </w:tr>
      <w:tr w:rsidR="001B5F69" w:rsidRPr="008A419C" w:rsidTr="00F525AD">
        <w:trPr>
          <w:cantSplit/>
          <w:trHeight w:val="255"/>
        </w:trPr>
        <w:tc>
          <w:tcPr>
            <w:tcW w:w="63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5F69" w:rsidRPr="00FA0190" w:rsidRDefault="001B5F69" w:rsidP="00FC15F3">
            <w:pPr>
              <w:rPr>
                <w:rFonts w:ascii="Arial" w:hAnsi="Arial" w:cs="Arial"/>
                <w:sz w:val="18"/>
                <w:szCs w:val="16"/>
              </w:rPr>
            </w:pPr>
            <w:r w:rsidRPr="00FA0190">
              <w:rPr>
                <w:rFonts w:ascii="Arial" w:hAnsi="Arial" w:cs="Arial"/>
                <w:sz w:val="18"/>
                <w:szCs w:val="16"/>
              </w:rPr>
              <w:t>Source: UK Employer Skills Survey 2013</w:t>
            </w:r>
          </w:p>
        </w:tc>
      </w:tr>
    </w:tbl>
    <w:p w:rsidR="00944DB7" w:rsidRPr="00650075" w:rsidRDefault="00944DB7" w:rsidP="00944DB7">
      <w:pPr>
        <w:pStyle w:val="normalnumbered"/>
        <w:tabs>
          <w:tab w:val="clear" w:pos="2666"/>
        </w:tabs>
        <w:spacing w:line="264" w:lineRule="auto"/>
        <w:ind w:left="0" w:right="40" w:firstLine="0"/>
        <w:rPr>
          <w:sz w:val="4"/>
          <w:szCs w:val="4"/>
        </w:rPr>
      </w:pPr>
    </w:p>
    <w:p w:rsidR="00E80417" w:rsidRDefault="00583593" w:rsidP="00FC15F3">
      <w:pPr>
        <w:pStyle w:val="normalnumbered"/>
        <w:numPr>
          <w:ilvl w:val="1"/>
          <w:numId w:val="1"/>
        </w:numPr>
        <w:tabs>
          <w:tab w:val="clear" w:pos="2666"/>
          <w:tab w:val="num" w:pos="709"/>
        </w:tabs>
        <w:spacing w:line="264" w:lineRule="auto"/>
        <w:ind w:left="0" w:right="40" w:firstLine="0"/>
        <w:rPr>
          <w:sz w:val="18"/>
          <w:szCs w:val="18"/>
        </w:rPr>
      </w:pPr>
      <w:r w:rsidRPr="001B5F69">
        <w:rPr>
          <w:sz w:val="18"/>
          <w:szCs w:val="18"/>
        </w:rPr>
        <w:t>Th</w:t>
      </w:r>
      <w:r w:rsidR="001B5F69" w:rsidRPr="001B5F69">
        <w:rPr>
          <w:sz w:val="18"/>
          <w:szCs w:val="18"/>
        </w:rPr>
        <w:t xml:space="preserve">e above has its roots in the </w:t>
      </w:r>
      <w:r w:rsidRPr="001B5F69">
        <w:rPr>
          <w:sz w:val="18"/>
          <w:szCs w:val="18"/>
        </w:rPr>
        <w:t>higher levels of employment of young people</w:t>
      </w:r>
      <w:r w:rsidR="001B5F69">
        <w:rPr>
          <w:sz w:val="18"/>
          <w:szCs w:val="18"/>
        </w:rPr>
        <w:t xml:space="preserve"> in the hotels and restaurants </w:t>
      </w:r>
      <w:r w:rsidR="00E66E66">
        <w:rPr>
          <w:sz w:val="18"/>
          <w:szCs w:val="18"/>
        </w:rPr>
        <w:t>industry</w:t>
      </w:r>
      <w:r w:rsidRPr="001B5F69">
        <w:rPr>
          <w:sz w:val="18"/>
          <w:szCs w:val="18"/>
        </w:rPr>
        <w:t>, the low entry level requ</w:t>
      </w:r>
      <w:r w:rsidR="00E80417">
        <w:rPr>
          <w:sz w:val="18"/>
          <w:szCs w:val="18"/>
        </w:rPr>
        <w:t xml:space="preserve">irements for </w:t>
      </w:r>
      <w:r w:rsidR="000F6D5D">
        <w:rPr>
          <w:sz w:val="18"/>
          <w:szCs w:val="18"/>
        </w:rPr>
        <w:t xml:space="preserve">many roles and </w:t>
      </w:r>
      <w:r w:rsidR="00E80417">
        <w:rPr>
          <w:sz w:val="18"/>
          <w:szCs w:val="18"/>
        </w:rPr>
        <w:t>employer</w:t>
      </w:r>
      <w:r w:rsidRPr="001B5F69">
        <w:rPr>
          <w:sz w:val="18"/>
          <w:szCs w:val="18"/>
        </w:rPr>
        <w:t>s</w:t>
      </w:r>
      <w:r w:rsidR="00E80417">
        <w:rPr>
          <w:sz w:val="18"/>
          <w:szCs w:val="18"/>
        </w:rPr>
        <w:t>’</w:t>
      </w:r>
      <w:r w:rsidRPr="001B5F69">
        <w:rPr>
          <w:sz w:val="18"/>
          <w:szCs w:val="18"/>
        </w:rPr>
        <w:t xml:space="preserve"> training strategies (</w:t>
      </w:r>
      <w:r w:rsidR="00E80417">
        <w:rPr>
          <w:sz w:val="18"/>
          <w:szCs w:val="18"/>
        </w:rPr>
        <w:t xml:space="preserve">it is known from both the </w:t>
      </w:r>
      <w:r w:rsidRPr="001B5F69">
        <w:rPr>
          <w:sz w:val="18"/>
          <w:szCs w:val="18"/>
        </w:rPr>
        <w:t xml:space="preserve">2011 and 2013 </w:t>
      </w:r>
      <w:r w:rsidR="00E80417">
        <w:rPr>
          <w:sz w:val="18"/>
          <w:szCs w:val="18"/>
        </w:rPr>
        <w:t xml:space="preserve">Employer Skills Surveys </w:t>
      </w:r>
      <w:r w:rsidRPr="001B5F69">
        <w:rPr>
          <w:sz w:val="18"/>
          <w:szCs w:val="18"/>
        </w:rPr>
        <w:t xml:space="preserve">that a below average proportion of </w:t>
      </w:r>
      <w:r w:rsidR="00B27D15">
        <w:rPr>
          <w:sz w:val="18"/>
          <w:szCs w:val="18"/>
        </w:rPr>
        <w:t xml:space="preserve">hotels and restaurants </w:t>
      </w:r>
      <w:r w:rsidRPr="001B5F69">
        <w:rPr>
          <w:sz w:val="18"/>
          <w:szCs w:val="18"/>
        </w:rPr>
        <w:t>provide training</w:t>
      </w:r>
      <w:r w:rsidR="00167E1B">
        <w:rPr>
          <w:sz w:val="18"/>
          <w:szCs w:val="18"/>
        </w:rPr>
        <w:t>, and especially off-the-job training,</w:t>
      </w:r>
      <w:r w:rsidRPr="001B5F69">
        <w:rPr>
          <w:sz w:val="18"/>
          <w:szCs w:val="18"/>
        </w:rPr>
        <w:t xml:space="preserve"> for their staff).  </w:t>
      </w:r>
    </w:p>
    <w:p w:rsidR="00583593" w:rsidRPr="001B5F69" w:rsidRDefault="00583593" w:rsidP="00FC15F3">
      <w:pPr>
        <w:pStyle w:val="normalnumbered"/>
        <w:numPr>
          <w:ilvl w:val="1"/>
          <w:numId w:val="1"/>
        </w:numPr>
        <w:tabs>
          <w:tab w:val="clear" w:pos="2666"/>
          <w:tab w:val="num" w:pos="709"/>
        </w:tabs>
        <w:spacing w:line="264" w:lineRule="auto"/>
        <w:ind w:left="0" w:right="40" w:firstLine="0"/>
        <w:rPr>
          <w:sz w:val="18"/>
          <w:szCs w:val="18"/>
        </w:rPr>
      </w:pPr>
      <w:r w:rsidRPr="001B5F69">
        <w:rPr>
          <w:sz w:val="18"/>
          <w:szCs w:val="18"/>
        </w:rPr>
        <w:t>The</w:t>
      </w:r>
      <w:r w:rsidR="00E80417">
        <w:rPr>
          <w:sz w:val="18"/>
          <w:szCs w:val="18"/>
        </w:rPr>
        <w:t xml:space="preserve"> figures are also likely to be influenced by the </w:t>
      </w:r>
      <w:r w:rsidR="00B30E73">
        <w:rPr>
          <w:sz w:val="18"/>
          <w:szCs w:val="18"/>
        </w:rPr>
        <w:t>staff</w:t>
      </w:r>
      <w:r w:rsidRPr="001B5F69">
        <w:rPr>
          <w:sz w:val="18"/>
          <w:szCs w:val="18"/>
        </w:rPr>
        <w:t xml:space="preserve"> turnover in accommodation and food and beverage services</w:t>
      </w:r>
      <w:r w:rsidR="00B30E73">
        <w:rPr>
          <w:sz w:val="18"/>
          <w:szCs w:val="18"/>
        </w:rPr>
        <w:t xml:space="preserve"> in particular</w:t>
      </w:r>
      <w:r w:rsidRPr="001B5F69">
        <w:rPr>
          <w:sz w:val="18"/>
          <w:szCs w:val="18"/>
        </w:rPr>
        <w:t>, i.e. with high rates of churn and a competitive environment in businesses across the sector</w:t>
      </w:r>
      <w:r w:rsidR="00B30E73">
        <w:rPr>
          <w:sz w:val="18"/>
          <w:szCs w:val="18"/>
        </w:rPr>
        <w:t>,</w:t>
      </w:r>
      <w:r w:rsidRPr="001B5F69">
        <w:rPr>
          <w:sz w:val="18"/>
          <w:szCs w:val="18"/>
        </w:rPr>
        <w:t xml:space="preserve"> it can be difficult to maintain a workforce which is fully skilled.</w:t>
      </w:r>
    </w:p>
    <w:p w:rsidR="002E37BF" w:rsidRDefault="002E37BF" w:rsidP="00583593">
      <w:pPr>
        <w:pStyle w:val="normalnumbered"/>
        <w:tabs>
          <w:tab w:val="clear" w:pos="2666"/>
        </w:tabs>
        <w:spacing w:line="264" w:lineRule="auto"/>
        <w:ind w:left="0" w:right="40" w:firstLine="0"/>
        <w:rPr>
          <w:rFonts w:cs="Arial"/>
          <w:b/>
          <w:bCs/>
          <w:iCs/>
          <w:color w:val="660066"/>
          <w:sz w:val="22"/>
          <w:szCs w:val="22"/>
        </w:rPr>
      </w:pPr>
    </w:p>
    <w:p w:rsidR="000F6D5D" w:rsidRDefault="000F6D5D" w:rsidP="00583593">
      <w:pPr>
        <w:pStyle w:val="normalnumbered"/>
        <w:tabs>
          <w:tab w:val="clear" w:pos="2666"/>
        </w:tabs>
        <w:spacing w:line="264" w:lineRule="auto"/>
        <w:ind w:left="0" w:right="40" w:firstLine="0"/>
        <w:rPr>
          <w:rFonts w:cs="Arial"/>
          <w:b/>
          <w:bCs/>
          <w:iCs/>
          <w:color w:val="660066"/>
          <w:sz w:val="22"/>
          <w:szCs w:val="22"/>
        </w:rPr>
      </w:pPr>
    </w:p>
    <w:p w:rsidR="000472FE" w:rsidRPr="00583593" w:rsidRDefault="00583593" w:rsidP="00583593">
      <w:pPr>
        <w:pStyle w:val="normalnumbered"/>
        <w:tabs>
          <w:tab w:val="clear" w:pos="2666"/>
        </w:tabs>
        <w:spacing w:line="264" w:lineRule="auto"/>
        <w:ind w:left="0" w:right="40" w:firstLine="0"/>
        <w:rPr>
          <w:rFonts w:cs="Arial"/>
          <w:b/>
          <w:bCs/>
          <w:iCs/>
          <w:color w:val="660066"/>
          <w:sz w:val="22"/>
          <w:szCs w:val="22"/>
        </w:rPr>
      </w:pPr>
      <w:r w:rsidRPr="00583593">
        <w:rPr>
          <w:rFonts w:cs="Arial"/>
          <w:b/>
          <w:bCs/>
          <w:iCs/>
          <w:color w:val="660066"/>
          <w:sz w:val="22"/>
          <w:szCs w:val="22"/>
        </w:rPr>
        <w:lastRenderedPageBreak/>
        <w:t>Skills gaps in Lancashire</w:t>
      </w:r>
      <w:r w:rsidR="00045882">
        <w:rPr>
          <w:rFonts w:cs="Arial"/>
          <w:b/>
          <w:bCs/>
          <w:iCs/>
          <w:color w:val="660066"/>
          <w:sz w:val="22"/>
          <w:szCs w:val="22"/>
        </w:rPr>
        <w:t>: Headlines</w:t>
      </w:r>
      <w:r w:rsidRPr="00583593">
        <w:rPr>
          <w:rFonts w:cs="Arial"/>
          <w:b/>
          <w:bCs/>
          <w:iCs/>
          <w:color w:val="660066"/>
          <w:sz w:val="22"/>
          <w:szCs w:val="22"/>
        </w:rPr>
        <w:t xml:space="preserve"> </w:t>
      </w:r>
      <w:r w:rsidR="000F52FD">
        <w:rPr>
          <w:rFonts w:cs="Arial"/>
          <w:b/>
          <w:bCs/>
          <w:iCs/>
          <w:color w:val="660066"/>
          <w:sz w:val="22"/>
          <w:szCs w:val="22"/>
        </w:rPr>
        <w:t xml:space="preserve"> </w:t>
      </w:r>
      <w:r w:rsidRPr="00583593">
        <w:rPr>
          <w:rFonts w:cs="Arial"/>
          <w:b/>
          <w:bCs/>
          <w:iCs/>
          <w:color w:val="660066"/>
          <w:sz w:val="22"/>
          <w:szCs w:val="22"/>
        </w:rPr>
        <w:t xml:space="preserve"> </w:t>
      </w:r>
    </w:p>
    <w:p w:rsidR="000F52FD" w:rsidRDefault="00B30E73" w:rsidP="00FC15F3">
      <w:pPr>
        <w:pStyle w:val="normalnumbered"/>
        <w:numPr>
          <w:ilvl w:val="1"/>
          <w:numId w:val="1"/>
        </w:numPr>
        <w:tabs>
          <w:tab w:val="clear" w:pos="2666"/>
          <w:tab w:val="num" w:pos="709"/>
        </w:tabs>
        <w:spacing w:line="264" w:lineRule="auto"/>
        <w:ind w:left="0" w:right="40" w:firstLine="0"/>
        <w:rPr>
          <w:sz w:val="18"/>
          <w:szCs w:val="18"/>
        </w:rPr>
      </w:pPr>
      <w:r w:rsidRPr="000F52FD">
        <w:rPr>
          <w:sz w:val="18"/>
          <w:szCs w:val="18"/>
        </w:rPr>
        <w:t xml:space="preserve">The national </w:t>
      </w:r>
      <w:r w:rsidRPr="00B27D15">
        <w:rPr>
          <w:sz w:val="18"/>
          <w:szCs w:val="18"/>
        </w:rPr>
        <w:t>picture of</w:t>
      </w:r>
      <w:r w:rsidR="000F52FD" w:rsidRPr="00B27D15">
        <w:rPr>
          <w:sz w:val="18"/>
          <w:szCs w:val="18"/>
        </w:rPr>
        <w:t xml:space="preserve"> skills gaps is largely reflected at the Lancashire level, with the 2013 UK Employer Skills Survey showing that 22% </w:t>
      </w:r>
      <w:r w:rsidR="008B08F7" w:rsidRPr="00B27D15">
        <w:rPr>
          <w:sz w:val="18"/>
          <w:szCs w:val="18"/>
        </w:rPr>
        <w:t>of</w:t>
      </w:r>
      <w:r w:rsidR="000F52FD" w:rsidRPr="00B27D15">
        <w:rPr>
          <w:sz w:val="18"/>
          <w:szCs w:val="18"/>
        </w:rPr>
        <w:t xml:space="preserve"> Lancashire’s hotels and restaurants have a skills gap, compared with the all-sector Lancashire figure of 17%.  H</w:t>
      </w:r>
      <w:r w:rsidR="00FE3E9B" w:rsidRPr="00B27D15">
        <w:rPr>
          <w:sz w:val="18"/>
          <w:szCs w:val="18"/>
        </w:rPr>
        <w:t xml:space="preserve">otels and restaurants account for 12% of all skills gaps in Lancashire, a proportion that is one and a half times greater than the employment share of the entire visitor economy across the LEP area.  What is more, as a proportion of employment, the number of staff not proficient in their role is twice the LEP average.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1559"/>
        <w:gridCol w:w="1338"/>
      </w:tblGrid>
      <w:tr w:rsidR="000F52FD" w:rsidRPr="00B27D15" w:rsidTr="00240D18">
        <w:trPr>
          <w:cantSplit/>
          <w:trHeight w:val="255"/>
          <w:tblHeader/>
        </w:trPr>
        <w:tc>
          <w:tcPr>
            <w:tcW w:w="0" w:type="auto"/>
            <w:gridSpan w:val="3"/>
            <w:shd w:val="clear" w:color="auto" w:fill="660066"/>
            <w:vAlign w:val="center"/>
          </w:tcPr>
          <w:p w:rsidR="000F52FD" w:rsidRPr="00B27D15" w:rsidRDefault="000F52FD" w:rsidP="000F52FD">
            <w:pPr>
              <w:rPr>
                <w:rFonts w:ascii="Arial" w:hAnsi="Arial" w:cs="Arial"/>
                <w:b/>
                <w:bCs/>
                <w:iCs/>
                <w:sz w:val="18"/>
                <w:szCs w:val="18"/>
              </w:rPr>
            </w:pPr>
            <w:r w:rsidRPr="00B27D15">
              <w:rPr>
                <w:rFonts w:ascii="Arial" w:hAnsi="Arial" w:cs="Arial"/>
                <w:b/>
                <w:color w:val="FFFFFF" w:themeColor="background1"/>
                <w:sz w:val="18"/>
                <w:szCs w:val="18"/>
              </w:rPr>
              <w:t>Skills Gaps in the Lancashire LEP Area</w:t>
            </w:r>
          </w:p>
        </w:tc>
      </w:tr>
      <w:tr w:rsidR="000F52FD" w:rsidRPr="008A419C" w:rsidTr="00240D18">
        <w:trPr>
          <w:cantSplit/>
          <w:trHeight w:val="255"/>
        </w:trPr>
        <w:tc>
          <w:tcPr>
            <w:tcW w:w="3828" w:type="dxa"/>
            <w:vAlign w:val="center"/>
          </w:tcPr>
          <w:p w:rsidR="000F52FD" w:rsidRPr="00B27D15" w:rsidRDefault="000F52FD" w:rsidP="00FC15F3">
            <w:pPr>
              <w:keepNext/>
              <w:outlineLvl w:val="1"/>
              <w:rPr>
                <w:rFonts w:ascii="Arial" w:hAnsi="Arial" w:cs="Arial"/>
                <w:b/>
                <w:bCs/>
                <w:iCs/>
                <w:sz w:val="18"/>
                <w:szCs w:val="18"/>
              </w:rPr>
            </w:pPr>
          </w:p>
        </w:tc>
        <w:tc>
          <w:tcPr>
            <w:tcW w:w="1559" w:type="dxa"/>
            <w:vAlign w:val="center"/>
          </w:tcPr>
          <w:p w:rsidR="000F52FD" w:rsidRPr="00B27D15" w:rsidRDefault="000F52FD" w:rsidP="00FC15F3">
            <w:pPr>
              <w:jc w:val="right"/>
              <w:rPr>
                <w:rFonts w:ascii="Arial" w:hAnsi="Arial" w:cs="Arial"/>
                <w:b/>
                <w:color w:val="000000"/>
                <w:sz w:val="18"/>
                <w:szCs w:val="18"/>
              </w:rPr>
            </w:pPr>
            <w:r w:rsidRPr="00B27D15">
              <w:rPr>
                <w:rFonts w:ascii="Arial" w:hAnsi="Arial" w:cs="Arial"/>
                <w:b/>
                <w:color w:val="000000"/>
                <w:sz w:val="18"/>
                <w:szCs w:val="18"/>
              </w:rPr>
              <w:t>Lancashire Hotels and Restaurants</w:t>
            </w:r>
          </w:p>
        </w:tc>
        <w:tc>
          <w:tcPr>
            <w:tcW w:w="1338" w:type="dxa"/>
            <w:vAlign w:val="center"/>
          </w:tcPr>
          <w:p w:rsidR="000F52FD" w:rsidRPr="00FA0190" w:rsidRDefault="000F52FD" w:rsidP="00FC15F3">
            <w:pPr>
              <w:jc w:val="right"/>
              <w:rPr>
                <w:rFonts w:ascii="Arial" w:hAnsi="Arial" w:cs="Arial"/>
                <w:b/>
                <w:color w:val="000000"/>
                <w:sz w:val="18"/>
                <w:szCs w:val="18"/>
              </w:rPr>
            </w:pPr>
            <w:r w:rsidRPr="00B27D15">
              <w:rPr>
                <w:rFonts w:ascii="Arial" w:hAnsi="Arial" w:cs="Arial"/>
                <w:b/>
                <w:color w:val="000000"/>
                <w:sz w:val="18"/>
                <w:szCs w:val="18"/>
              </w:rPr>
              <w:t>Lancashire Total</w:t>
            </w:r>
          </w:p>
        </w:tc>
      </w:tr>
      <w:tr w:rsidR="000F52FD" w:rsidRPr="008A419C" w:rsidTr="00240D18">
        <w:trPr>
          <w:cantSplit/>
          <w:trHeight w:val="255"/>
        </w:trPr>
        <w:tc>
          <w:tcPr>
            <w:tcW w:w="3828" w:type="dxa"/>
            <w:vAlign w:val="center"/>
          </w:tcPr>
          <w:p w:rsidR="000F52FD" w:rsidRPr="006B5960" w:rsidRDefault="000F52FD" w:rsidP="00FC15F3">
            <w:pPr>
              <w:rPr>
                <w:rFonts w:ascii="Arial" w:hAnsi="Arial" w:cs="Arial"/>
                <w:color w:val="000000"/>
                <w:sz w:val="18"/>
                <w:szCs w:val="18"/>
              </w:rPr>
            </w:pPr>
            <w:r w:rsidRPr="006B5960">
              <w:rPr>
                <w:rFonts w:ascii="Arial" w:hAnsi="Arial" w:cs="Arial"/>
                <w:color w:val="000000"/>
                <w:sz w:val="18"/>
                <w:szCs w:val="18"/>
              </w:rPr>
              <w:t>% of establishments with any staff not fully proficient</w:t>
            </w:r>
          </w:p>
        </w:tc>
        <w:tc>
          <w:tcPr>
            <w:tcW w:w="1559" w:type="dxa"/>
            <w:vAlign w:val="center"/>
          </w:tcPr>
          <w:p w:rsidR="000F52FD" w:rsidRPr="006B5960" w:rsidRDefault="000F52FD" w:rsidP="000F52FD">
            <w:pPr>
              <w:jc w:val="right"/>
              <w:rPr>
                <w:rFonts w:ascii="Arial" w:hAnsi="Arial" w:cs="Arial"/>
                <w:color w:val="000000"/>
                <w:sz w:val="18"/>
                <w:szCs w:val="18"/>
              </w:rPr>
            </w:pPr>
            <w:r>
              <w:rPr>
                <w:rFonts w:ascii="Arial" w:hAnsi="Arial" w:cs="Arial"/>
                <w:color w:val="000000"/>
                <w:sz w:val="18"/>
                <w:szCs w:val="18"/>
              </w:rPr>
              <w:t>22</w:t>
            </w:r>
            <w:r w:rsidRPr="006B5960">
              <w:rPr>
                <w:rFonts w:ascii="Arial" w:hAnsi="Arial" w:cs="Arial"/>
                <w:color w:val="000000"/>
                <w:sz w:val="18"/>
                <w:szCs w:val="18"/>
              </w:rPr>
              <w:t>%</w:t>
            </w:r>
          </w:p>
        </w:tc>
        <w:tc>
          <w:tcPr>
            <w:tcW w:w="1338" w:type="dxa"/>
            <w:vAlign w:val="center"/>
          </w:tcPr>
          <w:p w:rsidR="000F52FD" w:rsidRPr="006B5960" w:rsidRDefault="000F52FD" w:rsidP="000F52FD">
            <w:pPr>
              <w:jc w:val="right"/>
              <w:rPr>
                <w:rFonts w:ascii="Arial" w:hAnsi="Arial" w:cs="Arial"/>
                <w:color w:val="000000"/>
                <w:sz w:val="18"/>
                <w:szCs w:val="18"/>
              </w:rPr>
            </w:pPr>
            <w:r>
              <w:rPr>
                <w:rFonts w:ascii="Arial" w:hAnsi="Arial" w:cs="Arial"/>
                <w:color w:val="000000"/>
                <w:sz w:val="18"/>
                <w:szCs w:val="18"/>
              </w:rPr>
              <w:t>17</w:t>
            </w:r>
            <w:r w:rsidRPr="006B5960">
              <w:rPr>
                <w:rFonts w:ascii="Arial" w:hAnsi="Arial" w:cs="Arial"/>
                <w:color w:val="000000"/>
                <w:sz w:val="18"/>
                <w:szCs w:val="18"/>
              </w:rPr>
              <w:t>%</w:t>
            </w:r>
          </w:p>
        </w:tc>
      </w:tr>
      <w:tr w:rsidR="000F52FD" w:rsidRPr="008A419C" w:rsidTr="00240D18">
        <w:trPr>
          <w:cantSplit/>
          <w:trHeight w:val="255"/>
        </w:trPr>
        <w:tc>
          <w:tcPr>
            <w:tcW w:w="3828" w:type="dxa"/>
            <w:vAlign w:val="center"/>
          </w:tcPr>
          <w:p w:rsidR="000F52FD" w:rsidRPr="006B5960" w:rsidRDefault="000F52FD" w:rsidP="00FC15F3">
            <w:pPr>
              <w:rPr>
                <w:rFonts w:ascii="Arial" w:hAnsi="Arial" w:cs="Arial"/>
                <w:color w:val="000000"/>
                <w:sz w:val="18"/>
                <w:szCs w:val="18"/>
              </w:rPr>
            </w:pPr>
            <w:r w:rsidRPr="006B5960">
              <w:rPr>
                <w:rFonts w:ascii="Arial" w:hAnsi="Arial" w:cs="Arial"/>
                <w:color w:val="000000"/>
                <w:sz w:val="18"/>
                <w:szCs w:val="18"/>
              </w:rPr>
              <w:t>Number of staff not fully proficient as a % of employment</w:t>
            </w:r>
          </w:p>
        </w:tc>
        <w:tc>
          <w:tcPr>
            <w:tcW w:w="1559" w:type="dxa"/>
            <w:vAlign w:val="center"/>
          </w:tcPr>
          <w:p w:rsidR="000F52FD" w:rsidRPr="006B5960" w:rsidRDefault="000F52FD" w:rsidP="00FC15F3">
            <w:pPr>
              <w:jc w:val="right"/>
              <w:rPr>
                <w:rFonts w:ascii="Arial" w:hAnsi="Arial" w:cs="Arial"/>
                <w:color w:val="000000"/>
                <w:sz w:val="18"/>
                <w:szCs w:val="18"/>
              </w:rPr>
            </w:pPr>
            <w:r>
              <w:rPr>
                <w:rFonts w:ascii="Arial" w:hAnsi="Arial" w:cs="Arial"/>
                <w:color w:val="000000"/>
                <w:sz w:val="18"/>
                <w:szCs w:val="18"/>
              </w:rPr>
              <w:t>8</w:t>
            </w:r>
            <w:r w:rsidRPr="006B5960">
              <w:rPr>
                <w:rFonts w:ascii="Arial" w:hAnsi="Arial" w:cs="Arial"/>
                <w:color w:val="000000"/>
                <w:sz w:val="18"/>
                <w:szCs w:val="18"/>
              </w:rPr>
              <w:t>%</w:t>
            </w:r>
          </w:p>
        </w:tc>
        <w:tc>
          <w:tcPr>
            <w:tcW w:w="1338" w:type="dxa"/>
            <w:vAlign w:val="center"/>
          </w:tcPr>
          <w:p w:rsidR="000F52FD" w:rsidRPr="006B5960" w:rsidRDefault="000F52FD" w:rsidP="000F52FD">
            <w:pPr>
              <w:jc w:val="right"/>
              <w:rPr>
                <w:rFonts w:ascii="Arial" w:hAnsi="Arial" w:cs="Arial"/>
                <w:color w:val="000000"/>
                <w:sz w:val="18"/>
                <w:szCs w:val="18"/>
              </w:rPr>
            </w:pPr>
            <w:r>
              <w:rPr>
                <w:rFonts w:ascii="Arial" w:hAnsi="Arial" w:cs="Arial"/>
                <w:color w:val="000000"/>
                <w:sz w:val="18"/>
                <w:szCs w:val="18"/>
              </w:rPr>
              <w:t>4</w:t>
            </w:r>
            <w:r w:rsidRPr="006B5960">
              <w:rPr>
                <w:rFonts w:ascii="Arial" w:hAnsi="Arial" w:cs="Arial"/>
                <w:color w:val="000000"/>
                <w:sz w:val="18"/>
                <w:szCs w:val="18"/>
              </w:rPr>
              <w:t>%</w:t>
            </w:r>
          </w:p>
        </w:tc>
      </w:tr>
      <w:tr w:rsidR="000F52FD" w:rsidRPr="008A419C" w:rsidTr="00240D18">
        <w:trPr>
          <w:cantSplit/>
          <w:trHeight w:val="255"/>
        </w:trPr>
        <w:tc>
          <w:tcPr>
            <w:tcW w:w="0" w:type="auto"/>
            <w:gridSpan w:val="3"/>
            <w:vAlign w:val="center"/>
          </w:tcPr>
          <w:p w:rsidR="000F52FD" w:rsidRPr="006B5960" w:rsidRDefault="000F52FD" w:rsidP="00FC15F3">
            <w:pPr>
              <w:rPr>
                <w:rFonts w:ascii="Arial" w:hAnsi="Arial" w:cs="Arial"/>
                <w:bCs/>
                <w:iCs/>
                <w:sz w:val="16"/>
                <w:szCs w:val="16"/>
              </w:rPr>
            </w:pPr>
            <w:r w:rsidRPr="00FA0190">
              <w:rPr>
                <w:rFonts w:ascii="Arial" w:hAnsi="Arial" w:cs="Arial"/>
                <w:sz w:val="18"/>
                <w:szCs w:val="16"/>
              </w:rPr>
              <w:t>Source: UK Employer Skills Survey 2013</w:t>
            </w:r>
          </w:p>
        </w:tc>
      </w:tr>
    </w:tbl>
    <w:p w:rsidR="000F52FD" w:rsidRPr="008B08F7" w:rsidRDefault="000F52FD" w:rsidP="008B08F7">
      <w:pPr>
        <w:pStyle w:val="normalnumbered"/>
        <w:tabs>
          <w:tab w:val="clear" w:pos="2666"/>
        </w:tabs>
        <w:spacing w:after="120" w:line="264" w:lineRule="auto"/>
        <w:ind w:left="0" w:right="40" w:firstLine="0"/>
        <w:rPr>
          <w:sz w:val="2"/>
          <w:szCs w:val="2"/>
        </w:rPr>
      </w:pPr>
    </w:p>
    <w:p w:rsidR="005A10E5" w:rsidRDefault="005A10E5" w:rsidP="00F762A0">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Only a third of the businesses that responded to the online survey for this </w:t>
      </w:r>
      <w:r w:rsidR="008B08F7">
        <w:rPr>
          <w:sz w:val="18"/>
          <w:szCs w:val="18"/>
        </w:rPr>
        <w:t>plan</w:t>
      </w:r>
      <w:r>
        <w:rPr>
          <w:sz w:val="18"/>
          <w:szCs w:val="18"/>
        </w:rPr>
        <w:t xml:space="preserve"> said that the skills of their current workforce fully meets their business needs. </w:t>
      </w:r>
    </w:p>
    <w:p w:rsidR="00650075" w:rsidRPr="002E37BF" w:rsidRDefault="00650075" w:rsidP="002E37BF">
      <w:pPr>
        <w:pStyle w:val="normalnumbered"/>
        <w:tabs>
          <w:tab w:val="clear" w:pos="2666"/>
        </w:tabs>
        <w:spacing w:line="264" w:lineRule="auto"/>
        <w:ind w:left="0" w:right="40" w:firstLine="0"/>
        <w:rPr>
          <w:rFonts w:cs="Arial"/>
          <w:b/>
          <w:bCs/>
          <w:iCs/>
          <w:color w:val="660066"/>
          <w:sz w:val="22"/>
          <w:szCs w:val="22"/>
        </w:rPr>
      </w:pPr>
      <w:r w:rsidRPr="002E37BF">
        <w:rPr>
          <w:rFonts w:cs="Arial"/>
          <w:b/>
          <w:bCs/>
          <w:iCs/>
          <w:color w:val="660066"/>
          <w:sz w:val="22"/>
          <w:szCs w:val="22"/>
        </w:rPr>
        <w:t xml:space="preserve">Management and Leadership </w:t>
      </w:r>
    </w:p>
    <w:p w:rsidR="00F762A0" w:rsidRDefault="00F762A0" w:rsidP="00650075">
      <w:pPr>
        <w:pStyle w:val="normalnumbered"/>
        <w:numPr>
          <w:ilvl w:val="1"/>
          <w:numId w:val="1"/>
        </w:numPr>
        <w:tabs>
          <w:tab w:val="clear" w:pos="2666"/>
          <w:tab w:val="num" w:pos="709"/>
        </w:tabs>
        <w:spacing w:line="264" w:lineRule="auto"/>
        <w:ind w:left="0" w:right="40" w:firstLine="0"/>
        <w:rPr>
          <w:sz w:val="18"/>
          <w:szCs w:val="18"/>
        </w:rPr>
      </w:pPr>
      <w:r w:rsidRPr="00F762A0">
        <w:rPr>
          <w:sz w:val="18"/>
          <w:szCs w:val="18"/>
        </w:rPr>
        <w:t>The transient nature of the workforce can make it difficult for employers</w:t>
      </w:r>
      <w:r w:rsidR="005A10E5">
        <w:rPr>
          <w:sz w:val="18"/>
          <w:szCs w:val="18"/>
        </w:rPr>
        <w:t>, especially SMEs,</w:t>
      </w:r>
      <w:r w:rsidRPr="00F762A0">
        <w:rPr>
          <w:sz w:val="18"/>
          <w:szCs w:val="18"/>
        </w:rPr>
        <w:t xml:space="preserve"> to develop management and leadership capabilities.  People 1</w:t>
      </w:r>
      <w:r w:rsidRPr="00F762A0">
        <w:rPr>
          <w:sz w:val="18"/>
          <w:szCs w:val="18"/>
          <w:vertAlign w:val="superscript"/>
        </w:rPr>
        <w:t>st</w:t>
      </w:r>
      <w:r w:rsidRPr="00F762A0">
        <w:rPr>
          <w:sz w:val="18"/>
          <w:szCs w:val="18"/>
        </w:rPr>
        <w:t xml:space="preserve"> estimate that 6% of </w:t>
      </w:r>
      <w:r w:rsidR="00B27D15">
        <w:rPr>
          <w:sz w:val="18"/>
          <w:szCs w:val="18"/>
        </w:rPr>
        <w:t xml:space="preserve">hospitality and </w:t>
      </w:r>
      <w:r w:rsidR="00045882">
        <w:rPr>
          <w:sz w:val="18"/>
          <w:szCs w:val="18"/>
        </w:rPr>
        <w:t xml:space="preserve">tourism businesses have </w:t>
      </w:r>
      <w:r w:rsidRPr="00F762A0">
        <w:rPr>
          <w:sz w:val="18"/>
          <w:szCs w:val="18"/>
        </w:rPr>
        <w:t>managerial vacancies and that problems often arise due to managers being new in their role, not having completed formal management training and struggling to adapt to their new responsibilities</w:t>
      </w:r>
      <w:r w:rsidR="005A10E5">
        <w:rPr>
          <w:rStyle w:val="FootnoteReference"/>
          <w:sz w:val="18"/>
          <w:szCs w:val="18"/>
        </w:rPr>
        <w:footnoteReference w:id="46"/>
      </w:r>
      <w:r w:rsidRPr="00F762A0">
        <w:rPr>
          <w:sz w:val="18"/>
          <w:szCs w:val="18"/>
        </w:rPr>
        <w:t xml:space="preserve">.  </w:t>
      </w:r>
      <w:r w:rsidR="008B08F7">
        <w:rPr>
          <w:sz w:val="18"/>
          <w:szCs w:val="18"/>
        </w:rPr>
        <w:t xml:space="preserve"> </w:t>
      </w:r>
    </w:p>
    <w:p w:rsidR="005A10E5" w:rsidRPr="00045882" w:rsidRDefault="005A10E5" w:rsidP="005A10E5">
      <w:pPr>
        <w:pStyle w:val="normalnumbered"/>
        <w:numPr>
          <w:ilvl w:val="1"/>
          <w:numId w:val="1"/>
        </w:numPr>
        <w:shd w:val="clear" w:color="auto" w:fill="FFFFFF"/>
        <w:tabs>
          <w:tab w:val="clear" w:pos="2666"/>
          <w:tab w:val="num" w:pos="709"/>
        </w:tabs>
        <w:spacing w:line="264" w:lineRule="auto"/>
        <w:ind w:left="0" w:right="40" w:firstLine="0"/>
        <w:rPr>
          <w:i/>
          <w:sz w:val="18"/>
          <w:szCs w:val="18"/>
        </w:rPr>
      </w:pPr>
      <w:r w:rsidRPr="005A10E5">
        <w:rPr>
          <w:sz w:val="18"/>
          <w:szCs w:val="18"/>
        </w:rPr>
        <w:t xml:space="preserve">Feedback from employers </w:t>
      </w:r>
      <w:r w:rsidR="00045882">
        <w:rPr>
          <w:sz w:val="18"/>
          <w:szCs w:val="18"/>
        </w:rPr>
        <w:t xml:space="preserve">obtained </w:t>
      </w:r>
      <w:r w:rsidRPr="005A10E5">
        <w:rPr>
          <w:sz w:val="18"/>
          <w:szCs w:val="18"/>
        </w:rPr>
        <w:t xml:space="preserve">for this work chimes with the national message and adds weight to the assertion that SMEs in the visitor economy should be supported to develop their leadership and management skills.  The </w:t>
      </w:r>
      <w:r w:rsidRPr="005A10E5">
        <w:rPr>
          <w:sz w:val="18"/>
          <w:szCs w:val="18"/>
        </w:rPr>
        <w:lastRenderedPageBreak/>
        <w:t xml:space="preserve">relatively young workforce and high turnover rates mean that employees who remain within the workforce often find themselves progressing into senior positions at a faster rate than they might do in other sectors. Whilst this offers a degree of social mobility, it can also lead to relatively inexperienced managers.  </w:t>
      </w:r>
      <w:r w:rsidR="00045882">
        <w:rPr>
          <w:sz w:val="18"/>
          <w:szCs w:val="18"/>
        </w:rPr>
        <w:t xml:space="preserve">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1"/>
      </w:tblGrid>
      <w:tr w:rsidR="00045882" w:rsidRPr="00971220" w:rsidTr="00FC15F3">
        <w:tc>
          <w:tcPr>
            <w:tcW w:w="6521" w:type="dxa"/>
            <w:shd w:val="clear" w:color="auto" w:fill="B8CCE4" w:themeFill="accent1" w:themeFillTint="66"/>
          </w:tcPr>
          <w:p w:rsidR="00B62735" w:rsidRDefault="00045882" w:rsidP="00B62735">
            <w:pPr>
              <w:pStyle w:val="normalnumbered"/>
              <w:tabs>
                <w:tab w:val="clear" w:pos="2666"/>
              </w:tabs>
              <w:spacing w:after="60" w:line="264" w:lineRule="auto"/>
              <w:ind w:left="176" w:right="176" w:firstLine="0"/>
              <w:jc w:val="center"/>
              <w:rPr>
                <w:i/>
                <w:sz w:val="18"/>
                <w:szCs w:val="18"/>
              </w:rPr>
            </w:pPr>
            <w:r w:rsidRPr="006B427B">
              <w:rPr>
                <w:i/>
                <w:sz w:val="18"/>
                <w:szCs w:val="18"/>
              </w:rPr>
              <w:t>“</w:t>
            </w:r>
            <w:r w:rsidRPr="005A10E5">
              <w:rPr>
                <w:i/>
                <w:sz w:val="18"/>
                <w:szCs w:val="18"/>
              </w:rPr>
              <w:t>Too many employers fail to recognise that leadership and management doesn't just come through long service, it is a skill that needs to be trained or coached</w:t>
            </w:r>
            <w:r>
              <w:rPr>
                <w:i/>
                <w:sz w:val="18"/>
                <w:szCs w:val="18"/>
              </w:rPr>
              <w:t>.”</w:t>
            </w:r>
          </w:p>
          <w:p w:rsidR="00045882" w:rsidRPr="00FD1D2A" w:rsidRDefault="00045882" w:rsidP="00B62735">
            <w:pPr>
              <w:pStyle w:val="normalnumbered"/>
              <w:tabs>
                <w:tab w:val="clear" w:pos="2666"/>
              </w:tabs>
              <w:spacing w:before="0" w:after="120" w:line="264" w:lineRule="auto"/>
              <w:ind w:left="176" w:right="176" w:firstLine="0"/>
              <w:jc w:val="center"/>
              <w:rPr>
                <w:i/>
                <w:sz w:val="18"/>
                <w:szCs w:val="18"/>
              </w:rPr>
            </w:pPr>
            <w:r w:rsidRPr="00FD1D2A">
              <w:rPr>
                <w:sz w:val="18"/>
                <w:szCs w:val="18"/>
              </w:rPr>
              <w:t>Employer</w:t>
            </w:r>
          </w:p>
        </w:tc>
      </w:tr>
    </w:tbl>
    <w:p w:rsidR="00045882" w:rsidRPr="00D14630" w:rsidRDefault="00045882" w:rsidP="00045882">
      <w:pPr>
        <w:pStyle w:val="normalnumbered"/>
        <w:tabs>
          <w:tab w:val="clear" w:pos="2666"/>
        </w:tabs>
        <w:spacing w:after="120" w:line="264" w:lineRule="auto"/>
        <w:ind w:left="0" w:right="40" w:firstLine="0"/>
        <w:rPr>
          <w:sz w:val="2"/>
          <w:szCs w:val="2"/>
        </w:rPr>
      </w:pPr>
    </w:p>
    <w:p w:rsidR="005A10E5" w:rsidRDefault="005A10E5" w:rsidP="005A10E5">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 new European programme </w:t>
      </w:r>
      <w:r w:rsidR="00045882">
        <w:rPr>
          <w:sz w:val="18"/>
          <w:szCs w:val="18"/>
        </w:rPr>
        <w:t>may provide</w:t>
      </w:r>
      <w:r>
        <w:rPr>
          <w:sz w:val="18"/>
          <w:szCs w:val="18"/>
        </w:rPr>
        <w:t xml:space="preserve"> the opportunity to </w:t>
      </w:r>
      <w:r w:rsidR="008B08F7">
        <w:rPr>
          <w:sz w:val="18"/>
          <w:szCs w:val="18"/>
        </w:rPr>
        <w:t xml:space="preserve">provide leadership and management support </w:t>
      </w:r>
      <w:r>
        <w:rPr>
          <w:sz w:val="18"/>
          <w:szCs w:val="18"/>
        </w:rPr>
        <w:t xml:space="preserve">through a bespoke programme of intervention, drawing on the expertise of local stakeholders and building in lessons learnt from previous initiatives.  </w:t>
      </w:r>
    </w:p>
    <w:p w:rsidR="00583593" w:rsidRPr="00650075" w:rsidRDefault="00583593" w:rsidP="002E37BF">
      <w:pPr>
        <w:pStyle w:val="normalnumbered"/>
        <w:tabs>
          <w:tab w:val="clear" w:pos="2666"/>
        </w:tabs>
        <w:spacing w:line="264" w:lineRule="auto"/>
        <w:ind w:left="0" w:right="40" w:firstLine="0"/>
        <w:rPr>
          <w:rFonts w:cs="Arial"/>
          <w:b/>
          <w:color w:val="660066"/>
          <w:szCs w:val="20"/>
        </w:rPr>
      </w:pPr>
      <w:r w:rsidRPr="002E37BF">
        <w:rPr>
          <w:rFonts w:cs="Arial"/>
          <w:b/>
          <w:bCs/>
          <w:iCs/>
          <w:color w:val="660066"/>
          <w:sz w:val="22"/>
          <w:szCs w:val="22"/>
        </w:rPr>
        <w:t>D</w:t>
      </w:r>
      <w:r w:rsidR="00650075" w:rsidRPr="002E37BF">
        <w:rPr>
          <w:rFonts w:cs="Arial"/>
          <w:b/>
          <w:bCs/>
          <w:iCs/>
          <w:color w:val="660066"/>
          <w:sz w:val="22"/>
          <w:szCs w:val="22"/>
        </w:rPr>
        <w:t>igital Awareness and Marketing</w:t>
      </w:r>
      <w:r w:rsidR="00650075">
        <w:rPr>
          <w:rFonts w:cs="Arial"/>
          <w:b/>
          <w:color w:val="660066"/>
          <w:szCs w:val="20"/>
        </w:rPr>
        <w:t xml:space="preserve"> </w:t>
      </w:r>
    </w:p>
    <w:p w:rsidR="005A10E5" w:rsidRDefault="005A10E5" w:rsidP="005A10E5">
      <w:pPr>
        <w:pStyle w:val="normalnumbered"/>
        <w:numPr>
          <w:ilvl w:val="1"/>
          <w:numId w:val="1"/>
        </w:numPr>
        <w:tabs>
          <w:tab w:val="clear" w:pos="2666"/>
          <w:tab w:val="num" w:pos="709"/>
        </w:tabs>
        <w:spacing w:line="264" w:lineRule="auto"/>
        <w:ind w:left="0" w:right="40" w:firstLine="0"/>
        <w:rPr>
          <w:sz w:val="18"/>
          <w:szCs w:val="18"/>
        </w:rPr>
      </w:pPr>
      <w:r>
        <w:rPr>
          <w:sz w:val="18"/>
          <w:szCs w:val="18"/>
        </w:rPr>
        <w:t>A recent travel and tourism survey</w:t>
      </w:r>
      <w:r w:rsidR="00DD1F56">
        <w:rPr>
          <w:sz w:val="18"/>
          <w:szCs w:val="18"/>
        </w:rPr>
        <w:t xml:space="preserve"> administered nationally</w:t>
      </w:r>
      <w:r w:rsidR="008B08F7">
        <w:rPr>
          <w:rStyle w:val="FootnoteReference"/>
          <w:sz w:val="18"/>
          <w:szCs w:val="18"/>
        </w:rPr>
        <w:footnoteReference w:id="47"/>
      </w:r>
      <w:r w:rsidR="00DD1F56">
        <w:rPr>
          <w:sz w:val="18"/>
          <w:szCs w:val="18"/>
        </w:rPr>
        <w:t xml:space="preserve"> </w:t>
      </w:r>
      <w:r>
        <w:rPr>
          <w:sz w:val="18"/>
          <w:szCs w:val="18"/>
        </w:rPr>
        <w:t xml:space="preserve">found that half of the businesses surveyed reported a year-on-year increase in online bookings and 16% more companies were able to take online bookings than </w:t>
      </w:r>
      <w:r w:rsidR="008B08F7">
        <w:rPr>
          <w:sz w:val="18"/>
          <w:szCs w:val="18"/>
        </w:rPr>
        <w:t>a year earlier</w:t>
      </w:r>
      <w:r>
        <w:rPr>
          <w:sz w:val="18"/>
          <w:szCs w:val="18"/>
        </w:rPr>
        <w:t>. Despite this, 26</w:t>
      </w:r>
      <w:r w:rsidRPr="00AB7F76">
        <w:rPr>
          <w:sz w:val="18"/>
          <w:szCs w:val="18"/>
        </w:rPr>
        <w:t>% of operators in the hotel and bed and breakfast sector are still unable to take online bookings</w:t>
      </w:r>
      <w:r>
        <w:rPr>
          <w:sz w:val="18"/>
          <w:szCs w:val="18"/>
        </w:rPr>
        <w:t xml:space="preserve"> and anecdotal feedback provided for this study points to an opportunity for smaller businesses in the sector to become more skilled at e-commerce, online marketing and social media.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1"/>
      </w:tblGrid>
      <w:tr w:rsidR="00DD1F56" w:rsidRPr="00971220" w:rsidTr="00FC15F3">
        <w:tc>
          <w:tcPr>
            <w:tcW w:w="6521" w:type="dxa"/>
            <w:shd w:val="clear" w:color="auto" w:fill="B8CCE4" w:themeFill="accent1" w:themeFillTint="66"/>
          </w:tcPr>
          <w:p w:rsidR="00B62735" w:rsidRDefault="00DD1F56" w:rsidP="00B62735">
            <w:pPr>
              <w:pStyle w:val="normalnumbered"/>
              <w:tabs>
                <w:tab w:val="clear" w:pos="2666"/>
              </w:tabs>
              <w:spacing w:after="60" w:line="264" w:lineRule="auto"/>
              <w:ind w:left="176" w:right="176" w:firstLine="0"/>
              <w:jc w:val="center"/>
              <w:rPr>
                <w:i/>
                <w:sz w:val="18"/>
                <w:szCs w:val="18"/>
              </w:rPr>
            </w:pPr>
            <w:r w:rsidRPr="006B427B">
              <w:rPr>
                <w:i/>
                <w:sz w:val="18"/>
                <w:szCs w:val="18"/>
              </w:rPr>
              <w:t>“</w:t>
            </w:r>
            <w:r>
              <w:rPr>
                <w:i/>
                <w:sz w:val="18"/>
                <w:szCs w:val="18"/>
              </w:rPr>
              <w:t>Some of our students do placements at small hotels and bed and breakfasts.  So often, I get feedback from the employers about how the student has helped them to set up a Twitter account or put them on Facebook. We assume that everyone does this nowadays but in this sector it’s just not the case.”</w:t>
            </w:r>
          </w:p>
          <w:p w:rsidR="00DD1F56" w:rsidRPr="00FD1D2A" w:rsidRDefault="00DD1F56" w:rsidP="00B62735">
            <w:pPr>
              <w:pStyle w:val="normalnumbered"/>
              <w:tabs>
                <w:tab w:val="clear" w:pos="2666"/>
              </w:tabs>
              <w:spacing w:before="60" w:after="120" w:line="264" w:lineRule="auto"/>
              <w:ind w:left="176" w:right="176" w:firstLine="0"/>
              <w:jc w:val="center"/>
              <w:rPr>
                <w:i/>
                <w:sz w:val="18"/>
                <w:szCs w:val="18"/>
              </w:rPr>
            </w:pPr>
            <w:r>
              <w:rPr>
                <w:sz w:val="18"/>
                <w:szCs w:val="18"/>
              </w:rPr>
              <w:t>Course leader, FE College</w:t>
            </w:r>
          </w:p>
        </w:tc>
      </w:tr>
    </w:tbl>
    <w:p w:rsidR="00DD1F56" w:rsidRPr="00D14630" w:rsidRDefault="00DD1F56" w:rsidP="00DD1F56">
      <w:pPr>
        <w:pStyle w:val="normalnumbered"/>
        <w:tabs>
          <w:tab w:val="clear" w:pos="2666"/>
        </w:tabs>
        <w:spacing w:after="120" w:line="264" w:lineRule="auto"/>
        <w:ind w:left="0" w:right="40" w:firstLine="0"/>
        <w:rPr>
          <w:sz w:val="2"/>
          <w:szCs w:val="2"/>
        </w:rPr>
      </w:pPr>
    </w:p>
    <w:p w:rsidR="00F762A0" w:rsidRPr="005A10E5" w:rsidRDefault="005A10E5" w:rsidP="00583593">
      <w:pPr>
        <w:pStyle w:val="normalnumbered"/>
        <w:numPr>
          <w:ilvl w:val="1"/>
          <w:numId w:val="1"/>
        </w:numPr>
        <w:tabs>
          <w:tab w:val="clear" w:pos="2666"/>
          <w:tab w:val="num" w:pos="709"/>
        </w:tabs>
        <w:spacing w:line="264" w:lineRule="auto"/>
        <w:ind w:left="0" w:right="40" w:firstLine="0"/>
        <w:rPr>
          <w:sz w:val="18"/>
          <w:szCs w:val="18"/>
        </w:rPr>
      </w:pPr>
      <w:r>
        <w:rPr>
          <w:sz w:val="18"/>
          <w:szCs w:val="18"/>
        </w:rPr>
        <w:t>The Superfast Lancashire programme is increasing access to the technology but further work may be required to prom</w:t>
      </w:r>
      <w:r w:rsidR="008B08F7">
        <w:rPr>
          <w:sz w:val="18"/>
          <w:szCs w:val="18"/>
        </w:rPr>
        <w:t xml:space="preserve">ote </w:t>
      </w:r>
      <w:r>
        <w:rPr>
          <w:sz w:val="18"/>
          <w:szCs w:val="18"/>
        </w:rPr>
        <w:t xml:space="preserve">take up, including </w:t>
      </w:r>
      <w:r>
        <w:rPr>
          <w:sz w:val="18"/>
          <w:szCs w:val="18"/>
        </w:rPr>
        <w:lastRenderedPageBreak/>
        <w:t>explaining how to use superfast enabled technologies</w:t>
      </w:r>
      <w:r w:rsidR="008B08F7">
        <w:rPr>
          <w:sz w:val="18"/>
          <w:szCs w:val="18"/>
        </w:rPr>
        <w:t xml:space="preserve"> and showcasing the benefits that can be generated as a result</w:t>
      </w:r>
      <w:r>
        <w:rPr>
          <w:sz w:val="18"/>
          <w:szCs w:val="18"/>
        </w:rPr>
        <w:t xml:space="preserve">.  In the online survey of employers for this study, more than 80% of the companies who expect at least one workforce skill to require improvement over the next two years (and more than a third of the full sample) highlighted IT/digital skills.  </w:t>
      </w:r>
    </w:p>
    <w:p w:rsidR="00650075" w:rsidRPr="002E37BF" w:rsidRDefault="00650075" w:rsidP="002E37BF">
      <w:pPr>
        <w:pStyle w:val="normalnumbered"/>
        <w:tabs>
          <w:tab w:val="clear" w:pos="2666"/>
        </w:tabs>
        <w:spacing w:line="264" w:lineRule="auto"/>
        <w:ind w:left="0" w:right="40" w:firstLine="0"/>
        <w:rPr>
          <w:rFonts w:cs="Arial"/>
          <w:b/>
          <w:bCs/>
          <w:iCs/>
          <w:color w:val="660066"/>
          <w:sz w:val="22"/>
          <w:szCs w:val="22"/>
        </w:rPr>
      </w:pPr>
      <w:r w:rsidRPr="002E37BF">
        <w:rPr>
          <w:rFonts w:cs="Arial"/>
          <w:b/>
          <w:bCs/>
          <w:iCs/>
          <w:color w:val="660066"/>
          <w:sz w:val="22"/>
          <w:szCs w:val="22"/>
        </w:rPr>
        <w:t xml:space="preserve">Customer Service </w:t>
      </w:r>
    </w:p>
    <w:p w:rsidR="005A10E5" w:rsidRPr="005A10E5" w:rsidRDefault="00AC7F9D" w:rsidP="008C540E">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Over the last 20 years, expectations of </w:t>
      </w:r>
      <w:r w:rsidRPr="00B27D15">
        <w:rPr>
          <w:sz w:val="18"/>
          <w:szCs w:val="18"/>
        </w:rPr>
        <w:t xml:space="preserve">customer </w:t>
      </w:r>
      <w:r w:rsidR="008C540E" w:rsidRPr="00B27D15">
        <w:rPr>
          <w:sz w:val="18"/>
          <w:szCs w:val="18"/>
        </w:rPr>
        <w:t>service in the visitor economy, and indeed across the economy as a whole, have risen considerably</w:t>
      </w:r>
      <w:r w:rsidR="005A10E5" w:rsidRPr="00B27D15">
        <w:rPr>
          <w:sz w:val="18"/>
          <w:szCs w:val="18"/>
        </w:rPr>
        <w:t>.</w:t>
      </w:r>
      <w:r w:rsidR="008C540E" w:rsidRPr="00B27D15">
        <w:rPr>
          <w:sz w:val="18"/>
          <w:szCs w:val="18"/>
        </w:rPr>
        <w:t xml:space="preserve">  It is therefore of some note that i</w:t>
      </w:r>
      <w:r w:rsidR="005A10E5" w:rsidRPr="00B27D15">
        <w:rPr>
          <w:sz w:val="18"/>
          <w:szCs w:val="18"/>
        </w:rPr>
        <w:t xml:space="preserve">n 2013, 61% of </w:t>
      </w:r>
      <w:r w:rsidR="008C540E" w:rsidRPr="00B27D15">
        <w:rPr>
          <w:sz w:val="18"/>
          <w:szCs w:val="18"/>
        </w:rPr>
        <w:t xml:space="preserve">the </w:t>
      </w:r>
      <w:r w:rsidR="005A10E5" w:rsidRPr="00B27D15">
        <w:rPr>
          <w:sz w:val="18"/>
          <w:szCs w:val="18"/>
        </w:rPr>
        <w:t>ho</w:t>
      </w:r>
      <w:r w:rsidR="008C540E" w:rsidRPr="00B27D15">
        <w:rPr>
          <w:sz w:val="18"/>
          <w:szCs w:val="18"/>
        </w:rPr>
        <w:t xml:space="preserve">tels and restaurant businesses with skills gaps </w:t>
      </w:r>
      <w:r w:rsidR="00E652C2" w:rsidRPr="00B27D15">
        <w:rPr>
          <w:sz w:val="18"/>
          <w:szCs w:val="18"/>
        </w:rPr>
        <w:t xml:space="preserve">said that these gaps included </w:t>
      </w:r>
      <w:r w:rsidR="005A10E5" w:rsidRPr="00B27D15">
        <w:rPr>
          <w:sz w:val="18"/>
          <w:szCs w:val="18"/>
        </w:rPr>
        <w:t>customer</w:t>
      </w:r>
      <w:r w:rsidR="005A10E5" w:rsidRPr="004D67E8">
        <w:rPr>
          <w:sz w:val="18"/>
          <w:szCs w:val="18"/>
        </w:rPr>
        <w:t xml:space="preserve"> handling skills </w:t>
      </w:r>
      <w:r w:rsidR="005A10E5">
        <w:rPr>
          <w:sz w:val="18"/>
          <w:szCs w:val="18"/>
        </w:rPr>
        <w:t xml:space="preserve">and 26% said that had resulted in them losing </w:t>
      </w:r>
      <w:r w:rsidR="005A10E5" w:rsidRPr="004D67E8">
        <w:rPr>
          <w:sz w:val="18"/>
          <w:szCs w:val="18"/>
        </w:rPr>
        <w:t>business to competitors</w:t>
      </w:r>
      <w:r w:rsidR="005A10E5">
        <w:rPr>
          <w:rStyle w:val="FootnoteReference"/>
          <w:sz w:val="18"/>
          <w:szCs w:val="18"/>
        </w:rPr>
        <w:footnoteReference w:id="48"/>
      </w:r>
      <w:r w:rsidR="005A10E5">
        <w:rPr>
          <w:sz w:val="18"/>
          <w:szCs w:val="18"/>
        </w:rPr>
        <w:t xml:space="preserve">.  </w:t>
      </w:r>
      <w:r w:rsidR="00E652C2">
        <w:rPr>
          <w:sz w:val="18"/>
          <w:szCs w:val="18"/>
        </w:rPr>
        <w:t xml:space="preserve">Amongst the </w:t>
      </w:r>
      <w:r w:rsidR="005A10E5">
        <w:rPr>
          <w:sz w:val="18"/>
          <w:szCs w:val="18"/>
        </w:rPr>
        <w:t xml:space="preserve">companies </w:t>
      </w:r>
      <w:r w:rsidR="00E652C2">
        <w:rPr>
          <w:sz w:val="18"/>
          <w:szCs w:val="18"/>
        </w:rPr>
        <w:t xml:space="preserve">that </w:t>
      </w:r>
      <w:r w:rsidR="005A10E5">
        <w:rPr>
          <w:sz w:val="18"/>
          <w:szCs w:val="18"/>
        </w:rPr>
        <w:t xml:space="preserve">responded </w:t>
      </w:r>
      <w:r w:rsidR="00E652C2">
        <w:rPr>
          <w:sz w:val="18"/>
          <w:szCs w:val="18"/>
        </w:rPr>
        <w:t xml:space="preserve">to the online survey for this study, more than half of those </w:t>
      </w:r>
      <w:r w:rsidR="005A10E5">
        <w:rPr>
          <w:sz w:val="18"/>
          <w:szCs w:val="18"/>
        </w:rPr>
        <w:t>who expect at least one workforce skill to require improvement over the next two years cited customer service</w:t>
      </w:r>
      <w:r w:rsidR="002B6326">
        <w:rPr>
          <w:sz w:val="18"/>
          <w:szCs w:val="18"/>
        </w:rPr>
        <w:t xml:space="preserve"> as a key area</w:t>
      </w:r>
      <w:r w:rsidR="005A10E5">
        <w:rPr>
          <w:sz w:val="18"/>
          <w:szCs w:val="18"/>
        </w:rPr>
        <w:t xml:space="preserve">.   </w:t>
      </w:r>
    </w:p>
    <w:p w:rsidR="00F762A0" w:rsidRPr="005A10E5" w:rsidRDefault="005A10E5" w:rsidP="005A10E5">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Considerable efforts are clearly being made in this regard </w:t>
      </w:r>
      <w:r w:rsidR="00E652C2">
        <w:rPr>
          <w:sz w:val="18"/>
          <w:szCs w:val="18"/>
        </w:rPr>
        <w:t xml:space="preserve">in Lancashire </w:t>
      </w:r>
      <w:r>
        <w:rPr>
          <w:sz w:val="18"/>
          <w:szCs w:val="18"/>
        </w:rPr>
        <w:t xml:space="preserve">(see ‘The </w:t>
      </w:r>
      <w:r w:rsidR="00B62735">
        <w:rPr>
          <w:sz w:val="18"/>
          <w:szCs w:val="18"/>
        </w:rPr>
        <w:t xml:space="preserve">Emerging </w:t>
      </w:r>
      <w:r>
        <w:rPr>
          <w:sz w:val="18"/>
          <w:szCs w:val="18"/>
        </w:rPr>
        <w:t>Response</w:t>
      </w:r>
      <w:r w:rsidR="008B08F7">
        <w:rPr>
          <w:sz w:val="18"/>
          <w:szCs w:val="18"/>
        </w:rPr>
        <w:t>’, below,</w:t>
      </w:r>
      <w:r w:rsidR="00E652C2">
        <w:rPr>
          <w:sz w:val="18"/>
          <w:szCs w:val="18"/>
        </w:rPr>
        <w:t xml:space="preserve"> for examples</w:t>
      </w:r>
      <w:r>
        <w:rPr>
          <w:sz w:val="18"/>
          <w:szCs w:val="18"/>
        </w:rPr>
        <w:t>)</w:t>
      </w:r>
      <w:r w:rsidR="00E652C2">
        <w:rPr>
          <w:sz w:val="18"/>
          <w:szCs w:val="18"/>
        </w:rPr>
        <w:t xml:space="preserve">.  It is </w:t>
      </w:r>
      <w:r w:rsidR="002B6326">
        <w:rPr>
          <w:sz w:val="18"/>
          <w:szCs w:val="18"/>
        </w:rPr>
        <w:t>important that these be</w:t>
      </w:r>
      <w:r>
        <w:rPr>
          <w:sz w:val="18"/>
          <w:szCs w:val="18"/>
        </w:rPr>
        <w:t xml:space="preserve"> continued and, where appropriate, </w:t>
      </w:r>
      <w:r w:rsidR="00B62735">
        <w:rPr>
          <w:sz w:val="18"/>
          <w:szCs w:val="18"/>
        </w:rPr>
        <w:t>expanded to</w:t>
      </w:r>
      <w:r>
        <w:rPr>
          <w:sz w:val="18"/>
          <w:szCs w:val="18"/>
        </w:rPr>
        <w:t xml:space="preserve"> ensure that the local visitor economy keeps pace with other parts of the country and respon</w:t>
      </w:r>
      <w:r w:rsidR="008B08F7">
        <w:rPr>
          <w:sz w:val="18"/>
          <w:szCs w:val="18"/>
        </w:rPr>
        <w:t xml:space="preserve">ds </w:t>
      </w:r>
      <w:r>
        <w:rPr>
          <w:sz w:val="18"/>
          <w:szCs w:val="18"/>
        </w:rPr>
        <w:t xml:space="preserve">to evolving consumer demands.   </w:t>
      </w:r>
    </w:p>
    <w:p w:rsidR="002A2831" w:rsidRDefault="000472FE" w:rsidP="000472FE">
      <w:pPr>
        <w:spacing w:before="120" w:after="120" w:line="264" w:lineRule="auto"/>
        <w:jc w:val="both"/>
        <w:rPr>
          <w:sz w:val="18"/>
          <w:szCs w:val="18"/>
        </w:rPr>
      </w:pPr>
      <w:r>
        <w:rPr>
          <w:rFonts w:ascii="Arial" w:hAnsi="Arial" w:cs="Arial"/>
          <w:b/>
          <w:color w:val="660066"/>
          <w:sz w:val="22"/>
          <w:szCs w:val="22"/>
          <w:lang w:eastAsia="en-GB"/>
        </w:rPr>
        <w:t xml:space="preserve">The </w:t>
      </w:r>
      <w:r w:rsidR="006C256B">
        <w:rPr>
          <w:rFonts w:ascii="Arial" w:hAnsi="Arial" w:cs="Arial"/>
          <w:b/>
          <w:color w:val="660066"/>
          <w:sz w:val="22"/>
          <w:szCs w:val="22"/>
          <w:lang w:eastAsia="en-GB"/>
        </w:rPr>
        <w:t xml:space="preserve">Emerging </w:t>
      </w:r>
      <w:r>
        <w:rPr>
          <w:rFonts w:ascii="Arial" w:hAnsi="Arial" w:cs="Arial"/>
          <w:b/>
          <w:color w:val="660066"/>
          <w:sz w:val="22"/>
          <w:szCs w:val="22"/>
          <w:lang w:eastAsia="en-GB"/>
        </w:rPr>
        <w:t>Response</w:t>
      </w:r>
      <w:r>
        <w:rPr>
          <w:sz w:val="18"/>
          <w:szCs w:val="18"/>
        </w:rPr>
        <w:t xml:space="preserve"> </w:t>
      </w:r>
    </w:p>
    <w:p w:rsidR="002B6326" w:rsidRDefault="0068370B" w:rsidP="002B6326">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Whilst the recruitment and retention issues (Chapter </w:t>
      </w:r>
      <w:r w:rsidR="007E1190">
        <w:rPr>
          <w:sz w:val="18"/>
          <w:szCs w:val="18"/>
        </w:rPr>
        <w:t>Four</w:t>
      </w:r>
      <w:r>
        <w:rPr>
          <w:sz w:val="18"/>
          <w:szCs w:val="18"/>
        </w:rPr>
        <w:t xml:space="preserve">) and skills </w:t>
      </w:r>
      <w:r w:rsidR="002B6326">
        <w:rPr>
          <w:sz w:val="18"/>
          <w:szCs w:val="18"/>
        </w:rPr>
        <w:t>chal</w:t>
      </w:r>
      <w:r w:rsidR="00B62735">
        <w:rPr>
          <w:sz w:val="18"/>
          <w:szCs w:val="18"/>
        </w:rPr>
        <w:t xml:space="preserve">lenges (this chapter) in the visitor economy </w:t>
      </w:r>
      <w:r w:rsidR="002B6326">
        <w:rPr>
          <w:sz w:val="18"/>
          <w:szCs w:val="18"/>
        </w:rPr>
        <w:t xml:space="preserve">may not </w:t>
      </w:r>
      <w:r>
        <w:rPr>
          <w:sz w:val="18"/>
          <w:szCs w:val="18"/>
        </w:rPr>
        <w:t>have previously been researched with a specific Lancashire</w:t>
      </w:r>
      <w:r w:rsidR="002B6326">
        <w:rPr>
          <w:sz w:val="18"/>
          <w:szCs w:val="18"/>
        </w:rPr>
        <w:t xml:space="preserve"> </w:t>
      </w:r>
      <w:r>
        <w:rPr>
          <w:sz w:val="18"/>
          <w:szCs w:val="18"/>
        </w:rPr>
        <w:t xml:space="preserve">focus, </w:t>
      </w:r>
      <w:r w:rsidR="002B6326">
        <w:rPr>
          <w:sz w:val="18"/>
          <w:szCs w:val="18"/>
        </w:rPr>
        <w:t xml:space="preserve">they are well recognised within the county and have led both employers and skills providers to take action. </w:t>
      </w:r>
    </w:p>
    <w:p w:rsidR="00F314A0" w:rsidRPr="002B6326" w:rsidRDefault="0068370B" w:rsidP="00FC15F3">
      <w:pPr>
        <w:pStyle w:val="normalnumbered"/>
        <w:numPr>
          <w:ilvl w:val="1"/>
          <w:numId w:val="1"/>
        </w:numPr>
        <w:tabs>
          <w:tab w:val="clear" w:pos="2666"/>
          <w:tab w:val="num" w:pos="709"/>
        </w:tabs>
        <w:spacing w:line="264" w:lineRule="auto"/>
        <w:ind w:left="0" w:right="40" w:firstLine="0"/>
        <w:rPr>
          <w:sz w:val="18"/>
          <w:szCs w:val="18"/>
        </w:rPr>
      </w:pPr>
      <w:r w:rsidRPr="002B6326">
        <w:rPr>
          <w:sz w:val="18"/>
          <w:szCs w:val="18"/>
        </w:rPr>
        <w:t xml:space="preserve">The two summaries in the shaded boxes </w:t>
      </w:r>
      <w:r w:rsidR="00FE28FE">
        <w:rPr>
          <w:sz w:val="18"/>
          <w:szCs w:val="18"/>
        </w:rPr>
        <w:t>below</w:t>
      </w:r>
      <w:r w:rsidRPr="002B6326">
        <w:rPr>
          <w:sz w:val="18"/>
          <w:szCs w:val="18"/>
        </w:rPr>
        <w:t xml:space="preserve"> highlight some of the new and innovative practice </w:t>
      </w:r>
      <w:r w:rsidR="00F314A0" w:rsidRPr="002B6326">
        <w:rPr>
          <w:sz w:val="18"/>
          <w:szCs w:val="18"/>
        </w:rPr>
        <w:t>that is taking place</w:t>
      </w:r>
      <w:r w:rsidR="002B6326" w:rsidRPr="002B6326">
        <w:rPr>
          <w:sz w:val="18"/>
          <w:szCs w:val="18"/>
        </w:rPr>
        <w:t xml:space="preserve">.  But these </w:t>
      </w:r>
      <w:r w:rsidR="009C53C0" w:rsidRPr="002B6326">
        <w:rPr>
          <w:sz w:val="18"/>
          <w:szCs w:val="18"/>
        </w:rPr>
        <w:t xml:space="preserve">examples </w:t>
      </w:r>
      <w:r w:rsidR="00F314A0" w:rsidRPr="002B6326">
        <w:rPr>
          <w:sz w:val="18"/>
          <w:szCs w:val="18"/>
        </w:rPr>
        <w:t>a</w:t>
      </w:r>
      <w:r w:rsidR="009C53C0" w:rsidRPr="002B6326">
        <w:rPr>
          <w:sz w:val="18"/>
          <w:szCs w:val="18"/>
        </w:rPr>
        <w:t xml:space="preserve">re by no means exhaustive. </w:t>
      </w:r>
      <w:r w:rsidR="00F314A0" w:rsidRPr="002B6326">
        <w:rPr>
          <w:sz w:val="18"/>
          <w:szCs w:val="18"/>
        </w:rPr>
        <w:t xml:space="preserve">Others include: </w:t>
      </w:r>
    </w:p>
    <w:p w:rsidR="00C911C7" w:rsidRPr="00F314A0" w:rsidRDefault="009C53C0" w:rsidP="00F314A0">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F314A0">
        <w:rPr>
          <w:rFonts w:ascii="Arial Bold" w:hAnsi="Arial Bold" w:cs="Arial"/>
          <w:b/>
          <w:color w:val="6C2768"/>
          <w:sz w:val="18"/>
          <w:szCs w:val="18"/>
        </w:rPr>
        <w:t>The new £5m Visitor Economy Centre at Accrington and Rossingdale College.</w:t>
      </w:r>
      <w:r w:rsidRPr="00F314A0">
        <w:rPr>
          <w:rFonts w:ascii="Arial" w:hAnsi="Arial" w:cs="Arial"/>
          <w:sz w:val="18"/>
          <w:szCs w:val="18"/>
        </w:rPr>
        <w:t xml:space="preserve">  Due to open in September 2015, </w:t>
      </w:r>
      <w:r w:rsidR="00F314A0">
        <w:rPr>
          <w:rFonts w:ascii="Arial" w:hAnsi="Arial" w:cs="Arial"/>
          <w:sz w:val="18"/>
          <w:szCs w:val="18"/>
        </w:rPr>
        <w:t xml:space="preserve">the new centre </w:t>
      </w:r>
      <w:r w:rsidRPr="00F314A0">
        <w:rPr>
          <w:rFonts w:ascii="Arial" w:hAnsi="Arial" w:cs="Arial"/>
          <w:sz w:val="18"/>
          <w:szCs w:val="18"/>
        </w:rPr>
        <w:t xml:space="preserve">will host the college’s Hospitality and Catering, Travel and Tourism, Financial Services and </w:t>
      </w:r>
      <w:r w:rsidRPr="00F314A0">
        <w:rPr>
          <w:rFonts w:ascii="Arial" w:hAnsi="Arial" w:cs="Arial"/>
          <w:sz w:val="18"/>
          <w:szCs w:val="18"/>
        </w:rPr>
        <w:lastRenderedPageBreak/>
        <w:t xml:space="preserve">Business and </w:t>
      </w:r>
      <w:r w:rsidR="00FC15F3" w:rsidRPr="00F314A0">
        <w:rPr>
          <w:rFonts w:ascii="Arial" w:hAnsi="Arial" w:cs="Arial"/>
          <w:sz w:val="18"/>
          <w:szCs w:val="18"/>
        </w:rPr>
        <w:t>Logistics d</w:t>
      </w:r>
      <w:r w:rsidRPr="00F314A0">
        <w:rPr>
          <w:rFonts w:ascii="Arial" w:hAnsi="Arial" w:cs="Arial"/>
          <w:sz w:val="18"/>
          <w:szCs w:val="18"/>
        </w:rPr>
        <w:t xml:space="preserve">epartments. It will also include a high quality restaurant, bakery, retail outlet and conference facilities. </w:t>
      </w:r>
    </w:p>
    <w:p w:rsidR="00F314A0" w:rsidRDefault="009C53C0" w:rsidP="00F314A0">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F314A0">
        <w:rPr>
          <w:rFonts w:ascii="Arial Bold" w:hAnsi="Arial Bold" w:cs="Arial"/>
          <w:b/>
          <w:color w:val="6C2768"/>
          <w:sz w:val="18"/>
          <w:szCs w:val="18"/>
        </w:rPr>
        <w:t>UCLan</w:t>
      </w:r>
      <w:r w:rsidR="00F314A0">
        <w:rPr>
          <w:rFonts w:ascii="Arial" w:hAnsi="Arial" w:cs="Arial"/>
          <w:sz w:val="18"/>
          <w:szCs w:val="18"/>
        </w:rPr>
        <w:t xml:space="preserve"> </w:t>
      </w:r>
      <w:r w:rsidRPr="00F314A0">
        <w:rPr>
          <w:rFonts w:ascii="Arial" w:hAnsi="Arial" w:cs="Arial"/>
          <w:sz w:val="18"/>
          <w:szCs w:val="18"/>
        </w:rPr>
        <w:t xml:space="preserve">offer local, national and international work experience for their </w:t>
      </w:r>
      <w:r w:rsidR="003A0984" w:rsidRPr="00F314A0">
        <w:rPr>
          <w:rFonts w:ascii="Arial" w:hAnsi="Arial" w:cs="Arial"/>
          <w:sz w:val="18"/>
          <w:szCs w:val="18"/>
        </w:rPr>
        <w:t xml:space="preserve">Tourism and Hospitality Management </w:t>
      </w:r>
      <w:r w:rsidRPr="00F314A0">
        <w:rPr>
          <w:rFonts w:ascii="Arial" w:hAnsi="Arial" w:cs="Arial"/>
          <w:sz w:val="18"/>
          <w:szCs w:val="18"/>
        </w:rPr>
        <w:t xml:space="preserve">students, while </w:t>
      </w:r>
      <w:r w:rsidR="00FC15F3" w:rsidRPr="00F314A0">
        <w:rPr>
          <w:rFonts w:ascii="Arial" w:hAnsi="Arial" w:cs="Arial"/>
          <w:sz w:val="18"/>
          <w:szCs w:val="18"/>
        </w:rPr>
        <w:t xml:space="preserve">some </w:t>
      </w:r>
      <w:r w:rsidRPr="00F314A0">
        <w:rPr>
          <w:rFonts w:ascii="Arial Bold" w:hAnsi="Arial Bold" w:cs="Arial"/>
          <w:b/>
          <w:color w:val="6C2768"/>
          <w:sz w:val="18"/>
          <w:szCs w:val="18"/>
        </w:rPr>
        <w:t>FE colleges</w:t>
      </w:r>
      <w:r w:rsidRPr="00F314A0">
        <w:rPr>
          <w:rFonts w:ascii="Arial" w:hAnsi="Arial" w:cs="Arial"/>
          <w:sz w:val="18"/>
          <w:szCs w:val="18"/>
        </w:rPr>
        <w:t xml:space="preserve"> </w:t>
      </w:r>
      <w:r w:rsidR="00FC15F3" w:rsidRPr="00F314A0">
        <w:rPr>
          <w:rFonts w:ascii="Arial" w:hAnsi="Arial" w:cs="Arial"/>
          <w:sz w:val="18"/>
          <w:szCs w:val="18"/>
        </w:rPr>
        <w:t xml:space="preserve">in the county </w:t>
      </w:r>
      <w:r w:rsidRPr="00F314A0">
        <w:rPr>
          <w:rFonts w:ascii="Arial" w:hAnsi="Arial" w:cs="Arial"/>
          <w:sz w:val="18"/>
          <w:szCs w:val="18"/>
        </w:rPr>
        <w:t xml:space="preserve">have recruited tutors </w:t>
      </w:r>
      <w:r w:rsidR="00FC15F3" w:rsidRPr="00F314A0">
        <w:rPr>
          <w:rFonts w:ascii="Arial" w:hAnsi="Arial" w:cs="Arial"/>
          <w:sz w:val="18"/>
          <w:szCs w:val="18"/>
        </w:rPr>
        <w:t xml:space="preserve">with </w:t>
      </w:r>
      <w:r w:rsidR="003A0984" w:rsidRPr="00F314A0">
        <w:rPr>
          <w:rFonts w:ascii="Arial" w:hAnsi="Arial" w:cs="Arial"/>
          <w:sz w:val="18"/>
          <w:szCs w:val="18"/>
        </w:rPr>
        <w:t xml:space="preserve">up to date </w:t>
      </w:r>
      <w:r w:rsidR="00FC15F3" w:rsidRPr="00F314A0">
        <w:rPr>
          <w:rFonts w:ascii="Arial" w:hAnsi="Arial" w:cs="Arial"/>
          <w:sz w:val="18"/>
          <w:szCs w:val="18"/>
        </w:rPr>
        <w:t>industry experience</w:t>
      </w:r>
      <w:r w:rsidRPr="00F314A0">
        <w:rPr>
          <w:rFonts w:ascii="Arial" w:hAnsi="Arial" w:cs="Arial"/>
          <w:sz w:val="18"/>
          <w:szCs w:val="18"/>
        </w:rPr>
        <w:t xml:space="preserve"> who </w:t>
      </w:r>
      <w:r w:rsidR="003A0984" w:rsidRPr="00F314A0">
        <w:rPr>
          <w:rFonts w:ascii="Arial" w:hAnsi="Arial" w:cs="Arial"/>
          <w:sz w:val="18"/>
          <w:szCs w:val="18"/>
        </w:rPr>
        <w:t xml:space="preserve">are well placed to </w:t>
      </w:r>
      <w:r w:rsidRPr="00F314A0">
        <w:rPr>
          <w:rFonts w:ascii="Arial" w:hAnsi="Arial" w:cs="Arial"/>
          <w:sz w:val="18"/>
          <w:szCs w:val="18"/>
        </w:rPr>
        <w:t xml:space="preserve">convey the skills that employers in today’s visitor economy </w:t>
      </w:r>
      <w:r w:rsidR="00FC15F3" w:rsidRPr="00F314A0">
        <w:rPr>
          <w:rFonts w:ascii="Arial" w:hAnsi="Arial" w:cs="Arial"/>
          <w:sz w:val="18"/>
          <w:szCs w:val="18"/>
        </w:rPr>
        <w:t xml:space="preserve">need and </w:t>
      </w:r>
      <w:r w:rsidRPr="00F314A0">
        <w:rPr>
          <w:rFonts w:ascii="Arial" w:hAnsi="Arial" w:cs="Arial"/>
          <w:sz w:val="18"/>
          <w:szCs w:val="18"/>
        </w:rPr>
        <w:t>expect.</w:t>
      </w:r>
    </w:p>
    <w:p w:rsidR="009C53C0" w:rsidRPr="00F314A0" w:rsidRDefault="009C53C0" w:rsidP="00F314A0">
      <w:pPr>
        <w:pStyle w:val="ListParagraph"/>
        <w:numPr>
          <w:ilvl w:val="0"/>
          <w:numId w:val="2"/>
        </w:numPr>
        <w:spacing w:before="120" w:after="120" w:line="264" w:lineRule="auto"/>
        <w:ind w:left="284" w:hanging="284"/>
        <w:contextualSpacing w:val="0"/>
        <w:jc w:val="both"/>
        <w:rPr>
          <w:rFonts w:ascii="Arial" w:hAnsi="Arial" w:cs="Arial"/>
          <w:sz w:val="18"/>
          <w:szCs w:val="18"/>
        </w:rPr>
      </w:pPr>
      <w:r w:rsidRPr="00F314A0">
        <w:rPr>
          <w:rFonts w:ascii="Arial" w:hAnsi="Arial" w:cs="Arial"/>
          <w:sz w:val="18"/>
          <w:szCs w:val="18"/>
        </w:rPr>
        <w:t xml:space="preserve">Take-up of </w:t>
      </w:r>
      <w:r w:rsidRPr="00F314A0">
        <w:rPr>
          <w:rFonts w:ascii="Arial Bold" w:hAnsi="Arial Bold" w:cs="Arial"/>
          <w:b/>
          <w:color w:val="6C2768"/>
          <w:sz w:val="18"/>
          <w:szCs w:val="18"/>
        </w:rPr>
        <w:t>Welcome to Excellence</w:t>
      </w:r>
      <w:r w:rsidRPr="00F314A0">
        <w:rPr>
          <w:rFonts w:ascii="Arial" w:hAnsi="Arial" w:cs="Arial"/>
          <w:sz w:val="18"/>
          <w:szCs w:val="18"/>
        </w:rPr>
        <w:t xml:space="preserve"> – one of the most successful customer service initiatives in the UK – has been strong and the ambition</w:t>
      </w:r>
      <w:r w:rsidR="00FC15F3" w:rsidRPr="00F314A0">
        <w:rPr>
          <w:rFonts w:ascii="Arial" w:hAnsi="Arial" w:cs="Arial"/>
          <w:sz w:val="18"/>
          <w:szCs w:val="18"/>
        </w:rPr>
        <w:t xml:space="preserve"> for </w:t>
      </w:r>
      <w:r w:rsidRPr="00F314A0">
        <w:rPr>
          <w:rFonts w:ascii="Arial" w:hAnsi="Arial" w:cs="Arial"/>
          <w:sz w:val="18"/>
          <w:szCs w:val="18"/>
        </w:rPr>
        <w:t xml:space="preserve">Blackpool to become the first seaside town in the UK to achieve </w:t>
      </w:r>
      <w:r w:rsidRPr="00F314A0">
        <w:rPr>
          <w:rFonts w:ascii="Arial Bold" w:hAnsi="Arial Bold" w:cs="Arial"/>
          <w:b/>
          <w:color w:val="6C2768"/>
          <w:sz w:val="18"/>
          <w:szCs w:val="18"/>
        </w:rPr>
        <w:t xml:space="preserve">WorldHost Recognised Destination </w:t>
      </w:r>
      <w:r w:rsidRPr="00F314A0">
        <w:rPr>
          <w:rFonts w:ascii="Arial" w:hAnsi="Arial" w:cs="Arial"/>
          <w:sz w:val="18"/>
          <w:szCs w:val="18"/>
        </w:rPr>
        <w:t xml:space="preserve">status provides clear evidence </w:t>
      </w:r>
      <w:r w:rsidR="00C911C7" w:rsidRPr="00F314A0">
        <w:rPr>
          <w:rFonts w:ascii="Arial" w:hAnsi="Arial" w:cs="Arial"/>
          <w:sz w:val="18"/>
          <w:szCs w:val="18"/>
        </w:rPr>
        <w:t xml:space="preserve">that the town is looking to further strengthen its visitor offer. </w:t>
      </w:r>
      <w:r w:rsidRPr="00F314A0">
        <w:rPr>
          <w:rFonts w:ascii="Arial" w:hAnsi="Arial" w:cs="Arial"/>
          <w:sz w:val="18"/>
          <w:szCs w:val="18"/>
        </w:rPr>
        <w:t xml:space="preserve">      </w:t>
      </w:r>
    </w:p>
    <w:tbl>
      <w:tblPr>
        <w:tblStyle w:val="TableGrid"/>
        <w:tblW w:w="4713" w:type="pct"/>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41"/>
      </w:tblGrid>
      <w:tr w:rsidR="00C911C7" w:rsidRPr="00971220" w:rsidTr="00240D18">
        <w:tc>
          <w:tcPr>
            <w:tcW w:w="5000" w:type="pct"/>
            <w:shd w:val="clear" w:color="auto" w:fill="E5DFEC" w:themeFill="accent4" w:themeFillTint="33"/>
          </w:tcPr>
          <w:p w:rsidR="00C911C7" w:rsidRPr="00C911C7" w:rsidRDefault="00C911C7" w:rsidP="00C911C7">
            <w:pPr>
              <w:pStyle w:val="normalnumbered"/>
              <w:tabs>
                <w:tab w:val="clear" w:pos="2666"/>
              </w:tabs>
              <w:spacing w:after="120" w:line="264" w:lineRule="auto"/>
              <w:ind w:left="34" w:right="40" w:firstLine="0"/>
              <w:rPr>
                <w:b/>
                <w:color w:val="6C2768"/>
                <w:sz w:val="18"/>
                <w:szCs w:val="18"/>
              </w:rPr>
            </w:pPr>
            <w:r w:rsidRPr="00C911C7">
              <w:rPr>
                <w:b/>
                <w:color w:val="6C2768"/>
                <w:sz w:val="18"/>
                <w:szCs w:val="18"/>
              </w:rPr>
              <w:t>Blackpool Tourism Academy</w:t>
            </w:r>
          </w:p>
          <w:p w:rsidR="00C911C7" w:rsidRPr="00C911C7" w:rsidRDefault="00C911C7" w:rsidP="00C911C7">
            <w:pPr>
              <w:pStyle w:val="normalnumbered"/>
              <w:tabs>
                <w:tab w:val="clear" w:pos="2666"/>
              </w:tabs>
              <w:spacing w:after="120" w:line="264" w:lineRule="auto"/>
              <w:ind w:left="0" w:right="40" w:firstLine="0"/>
              <w:rPr>
                <w:sz w:val="18"/>
                <w:szCs w:val="18"/>
              </w:rPr>
            </w:pPr>
            <w:r w:rsidRPr="00C911C7">
              <w:rPr>
                <w:sz w:val="18"/>
                <w:szCs w:val="18"/>
              </w:rPr>
              <w:t xml:space="preserve">The Blackpool Tourism Academy (BTA) is a co-funded initiative through the government’s Employer Ownership Pilot which is seeing £2m invested over three years to raise the skills of people who work in the resort’s visitor economy. </w:t>
            </w:r>
          </w:p>
          <w:p w:rsidR="00C911C7" w:rsidRPr="00C911C7" w:rsidRDefault="00C911C7" w:rsidP="00C911C7">
            <w:pPr>
              <w:pStyle w:val="normalnumbered"/>
              <w:tabs>
                <w:tab w:val="clear" w:pos="2666"/>
              </w:tabs>
              <w:spacing w:after="120" w:line="264" w:lineRule="auto"/>
              <w:ind w:left="0" w:right="40" w:firstLine="0"/>
              <w:rPr>
                <w:sz w:val="18"/>
                <w:szCs w:val="18"/>
              </w:rPr>
            </w:pPr>
            <w:r w:rsidRPr="00C911C7">
              <w:rPr>
                <w:sz w:val="18"/>
                <w:szCs w:val="18"/>
              </w:rPr>
              <w:t xml:space="preserve">The training available ranges from customer service, supervisory and management programmes, to spectator management, gaming awareness, selling techniques and passenger carrying.  Over 2,500 training places will be available to staff within the Academy founding employers (Merlin Entertainments, Cuerden Leisure, Blackpool Transport Services, Sandcastle Waterpark and Blackpool Zoo).  Courses feature participants from across several businesses at once, and </w:t>
            </w:r>
            <w:r w:rsidR="003A0984">
              <w:rPr>
                <w:sz w:val="18"/>
                <w:szCs w:val="18"/>
              </w:rPr>
              <w:t>are</w:t>
            </w:r>
            <w:r w:rsidRPr="00C911C7">
              <w:rPr>
                <w:sz w:val="18"/>
                <w:szCs w:val="18"/>
              </w:rPr>
              <w:t xml:space="preserve"> hosted at a range of employer venues. </w:t>
            </w:r>
          </w:p>
          <w:p w:rsidR="00C911C7" w:rsidRPr="00C911C7" w:rsidRDefault="00C911C7" w:rsidP="00C911C7">
            <w:pPr>
              <w:pStyle w:val="normalnumbered"/>
              <w:tabs>
                <w:tab w:val="clear" w:pos="2666"/>
              </w:tabs>
              <w:spacing w:after="120" w:line="264" w:lineRule="auto"/>
              <w:ind w:left="0" w:right="40" w:firstLine="0"/>
              <w:rPr>
                <w:sz w:val="16"/>
                <w:szCs w:val="16"/>
              </w:rPr>
            </w:pPr>
            <w:r w:rsidRPr="00C911C7">
              <w:rPr>
                <w:sz w:val="18"/>
                <w:szCs w:val="18"/>
              </w:rPr>
              <w:t>The BTA is an ambitious programme that is introducing a skills progression model that will be recognised throughout the resort.  It also sees the introduction of a new apprenticeship framework to meet to the needs of a modern tourism industry.  Each employer will have slightly different requirements and as such the framework has bespoke modules such as spectator management and selling skills. The aim is to create over 100 new apprentice opportunities for people in Blackpool, while the BTA as a whole will deliver over 5,000 new training opportunities for staff within businesses across the resort up to 2017</w:t>
            </w:r>
            <w:r>
              <w:rPr>
                <w:sz w:val="18"/>
                <w:szCs w:val="18"/>
              </w:rPr>
              <w:t>.</w:t>
            </w:r>
          </w:p>
        </w:tc>
      </w:tr>
    </w:tbl>
    <w:p w:rsidR="009C56AA" w:rsidRDefault="009C56AA" w:rsidP="009C56AA">
      <w:pPr>
        <w:rPr>
          <w:kern w:val="32"/>
          <w:lang w:eastAsia="en-GB"/>
        </w:rPr>
      </w:pPr>
    </w:p>
    <w:p w:rsidR="00240D18" w:rsidRDefault="00240D18" w:rsidP="009C56AA">
      <w:pPr>
        <w:rPr>
          <w:kern w:val="32"/>
          <w:lang w:eastAsia="en-GB"/>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33"/>
      </w:tblGrid>
      <w:tr w:rsidR="00240D18" w:rsidRPr="00971220" w:rsidTr="000A3998">
        <w:tc>
          <w:tcPr>
            <w:tcW w:w="5000" w:type="pct"/>
            <w:shd w:val="clear" w:color="auto" w:fill="E5DFEC" w:themeFill="accent4" w:themeFillTint="33"/>
          </w:tcPr>
          <w:p w:rsidR="00240D18" w:rsidRPr="00C911C7" w:rsidRDefault="00240D18" w:rsidP="000A3998">
            <w:pPr>
              <w:pStyle w:val="normalnumbered"/>
              <w:tabs>
                <w:tab w:val="clear" w:pos="2666"/>
              </w:tabs>
              <w:spacing w:after="120" w:line="264" w:lineRule="auto"/>
              <w:ind w:left="0" w:right="40" w:firstLine="0"/>
              <w:rPr>
                <w:b/>
                <w:color w:val="6C2768"/>
                <w:sz w:val="18"/>
                <w:szCs w:val="18"/>
              </w:rPr>
            </w:pPr>
            <w:r w:rsidRPr="00C911C7">
              <w:rPr>
                <w:b/>
                <w:color w:val="6C2768"/>
                <w:sz w:val="18"/>
                <w:szCs w:val="18"/>
              </w:rPr>
              <w:lastRenderedPageBreak/>
              <w:t>Runshaw College</w:t>
            </w:r>
          </w:p>
          <w:p w:rsidR="00240D18" w:rsidRPr="00C911C7" w:rsidRDefault="00240D18" w:rsidP="000A3998">
            <w:pPr>
              <w:pStyle w:val="normalnumbered"/>
              <w:tabs>
                <w:tab w:val="clear" w:pos="2666"/>
              </w:tabs>
              <w:spacing w:after="120" w:line="264" w:lineRule="auto"/>
              <w:ind w:left="0" w:right="40" w:firstLine="0"/>
              <w:rPr>
                <w:sz w:val="18"/>
                <w:szCs w:val="18"/>
              </w:rPr>
            </w:pPr>
            <w:r w:rsidRPr="00C911C7">
              <w:rPr>
                <w:sz w:val="18"/>
                <w:szCs w:val="18"/>
              </w:rPr>
              <w:t>Runshaw College</w:t>
            </w:r>
            <w:r>
              <w:rPr>
                <w:sz w:val="18"/>
                <w:szCs w:val="18"/>
              </w:rPr>
              <w:t xml:space="preserve"> </w:t>
            </w:r>
            <w:r w:rsidRPr="00C911C7">
              <w:rPr>
                <w:sz w:val="18"/>
                <w:szCs w:val="18"/>
              </w:rPr>
              <w:t xml:space="preserve">has entered into an innovative partnership arrangement with Hays Travel to develop ‘The Travel Pod at Runshaw’.  A fully working, commercial travel agents, the pod gives students the opportunity to undertake meaningful work experience in a retail travel environment whilst also gaining recognised industry qualifications. </w:t>
            </w:r>
          </w:p>
          <w:p w:rsidR="00240D18" w:rsidRPr="00C911C7" w:rsidRDefault="00240D18" w:rsidP="000A3998">
            <w:pPr>
              <w:pStyle w:val="normalnumbered"/>
              <w:tabs>
                <w:tab w:val="clear" w:pos="2666"/>
              </w:tabs>
              <w:spacing w:after="120" w:line="264" w:lineRule="auto"/>
              <w:ind w:left="0" w:right="40" w:firstLine="0"/>
              <w:rPr>
                <w:sz w:val="18"/>
                <w:szCs w:val="18"/>
              </w:rPr>
            </w:pPr>
            <w:r w:rsidRPr="00C911C7">
              <w:rPr>
                <w:sz w:val="18"/>
                <w:szCs w:val="18"/>
              </w:rPr>
              <w:t xml:space="preserve">The college also has a mock aircraft giving Travel and Tourism students the opportunity to gain practical experience and a recognised qualification in airline cabin crew. </w:t>
            </w:r>
          </w:p>
          <w:p w:rsidR="00240D18" w:rsidRPr="00C911C7" w:rsidRDefault="00240D18" w:rsidP="000A3998">
            <w:pPr>
              <w:pStyle w:val="normalnumbered"/>
              <w:tabs>
                <w:tab w:val="clear" w:pos="2666"/>
              </w:tabs>
              <w:spacing w:after="120" w:line="264" w:lineRule="auto"/>
              <w:ind w:left="0" w:right="40" w:firstLine="0"/>
              <w:rPr>
                <w:sz w:val="16"/>
                <w:szCs w:val="16"/>
              </w:rPr>
            </w:pPr>
            <w:r w:rsidRPr="00C911C7">
              <w:rPr>
                <w:sz w:val="18"/>
                <w:szCs w:val="18"/>
              </w:rPr>
              <w:t>Recently the college ran an awareness raising session and invited the careers advisors from 40 secondary schools to attend, the aim being to convey the full range of study options and job/careers opportunities that exist in the visitor economy.  Since running the session the college has seen a marked increase in applications.</w:t>
            </w:r>
          </w:p>
        </w:tc>
      </w:tr>
    </w:tbl>
    <w:p w:rsidR="00240D18" w:rsidRPr="00D14630" w:rsidRDefault="00240D18" w:rsidP="00240D18">
      <w:pPr>
        <w:pStyle w:val="normalnumbered"/>
        <w:tabs>
          <w:tab w:val="clear" w:pos="2666"/>
        </w:tabs>
        <w:spacing w:after="120" w:line="264" w:lineRule="auto"/>
        <w:ind w:left="0" w:right="40" w:firstLine="0"/>
        <w:rPr>
          <w:sz w:val="2"/>
          <w:szCs w:val="2"/>
        </w:rPr>
      </w:pPr>
    </w:p>
    <w:p w:rsidR="00240D18" w:rsidRDefault="00240D18" w:rsidP="009C56AA">
      <w:pPr>
        <w:rPr>
          <w:kern w:val="32"/>
          <w:lang w:eastAsia="en-GB"/>
        </w:rPr>
      </w:pPr>
    </w:p>
    <w:p w:rsidR="00967921" w:rsidRDefault="000B3FEC" w:rsidP="002668CD">
      <w:pPr>
        <w:pStyle w:val="ListParagraph"/>
        <w:keepNext/>
        <w:pageBreakBefore/>
        <w:numPr>
          <w:ilvl w:val="0"/>
          <w:numId w:val="1"/>
        </w:numPr>
        <w:tabs>
          <w:tab w:val="clear" w:pos="1112"/>
          <w:tab w:val="num" w:pos="567"/>
        </w:tabs>
        <w:spacing w:before="240" w:after="240" w:line="360" w:lineRule="auto"/>
        <w:ind w:left="567" w:hanging="567"/>
        <w:jc w:val="both"/>
        <w:outlineLvl w:val="0"/>
        <w:rPr>
          <w:rFonts w:ascii="Arial" w:hAnsi="Arial" w:cs="Arial"/>
          <w:b/>
          <w:bCs/>
          <w:color w:val="6C2768"/>
          <w:kern w:val="32"/>
          <w:sz w:val="28"/>
          <w:szCs w:val="32"/>
          <w:lang w:eastAsia="en-GB"/>
        </w:rPr>
      </w:pPr>
      <w:bookmarkStart w:id="99" w:name="_Toc424128479"/>
      <w:bookmarkStart w:id="100" w:name="_Toc419469486"/>
      <w:r>
        <w:rPr>
          <w:rFonts w:ascii="Arial" w:hAnsi="Arial" w:cs="Arial"/>
          <w:b/>
          <w:bCs/>
          <w:color w:val="6C2768"/>
          <w:kern w:val="32"/>
          <w:sz w:val="28"/>
          <w:szCs w:val="32"/>
          <w:lang w:eastAsia="en-GB"/>
        </w:rPr>
        <w:lastRenderedPageBreak/>
        <w:t>Supply Side Provision</w:t>
      </w:r>
      <w:bookmarkEnd w:id="99"/>
      <w:r>
        <w:rPr>
          <w:rFonts w:ascii="Arial" w:hAnsi="Arial" w:cs="Arial"/>
          <w:b/>
          <w:bCs/>
          <w:color w:val="6C2768"/>
          <w:kern w:val="32"/>
          <w:sz w:val="28"/>
          <w:szCs w:val="32"/>
          <w:lang w:eastAsia="en-GB"/>
        </w:rPr>
        <w:t xml:space="preserve"> </w:t>
      </w:r>
      <w:r w:rsidR="00967921">
        <w:rPr>
          <w:rFonts w:ascii="Arial" w:hAnsi="Arial" w:cs="Arial"/>
          <w:b/>
          <w:bCs/>
          <w:color w:val="6C2768"/>
          <w:kern w:val="32"/>
          <w:sz w:val="28"/>
          <w:szCs w:val="32"/>
          <w:lang w:eastAsia="en-GB"/>
        </w:rPr>
        <w:t xml:space="preserve">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1DD" w:themeFill="accent3" w:themeFillTint="33"/>
        <w:tblLook w:val="04A0" w:firstRow="1" w:lastRow="0" w:firstColumn="1" w:lastColumn="0" w:noHBand="0" w:noVBand="1"/>
      </w:tblPr>
      <w:tblGrid>
        <w:gridCol w:w="6663"/>
      </w:tblGrid>
      <w:tr w:rsidR="00240D18" w:rsidRPr="00971220" w:rsidTr="000A3998">
        <w:tc>
          <w:tcPr>
            <w:tcW w:w="6663" w:type="dxa"/>
            <w:shd w:val="clear" w:color="auto" w:fill="EAF1DD" w:themeFill="accent3" w:themeFillTint="33"/>
          </w:tcPr>
          <w:p w:rsidR="00240D18" w:rsidRPr="00BA477C" w:rsidRDefault="00240D18" w:rsidP="000A3998">
            <w:pPr>
              <w:pStyle w:val="normalnumbered"/>
              <w:tabs>
                <w:tab w:val="clear" w:pos="2666"/>
              </w:tabs>
              <w:spacing w:after="120" w:line="264" w:lineRule="auto"/>
              <w:ind w:right="176"/>
              <w:jc w:val="left"/>
              <w:rPr>
                <w:b/>
                <w:color w:val="6C2768"/>
                <w:sz w:val="18"/>
                <w:szCs w:val="18"/>
              </w:rPr>
            </w:pPr>
            <w:bookmarkStart w:id="101" w:name="_Toc422400109"/>
            <w:bookmarkStart w:id="102" w:name="_Toc422907647"/>
            <w:bookmarkStart w:id="103" w:name="_Toc424128480"/>
            <w:r w:rsidRPr="00BA477C">
              <w:rPr>
                <w:b/>
                <w:color w:val="6C2768"/>
                <w:sz w:val="18"/>
                <w:szCs w:val="18"/>
              </w:rPr>
              <w:t>Summary of Key Points</w:t>
            </w:r>
          </w:p>
          <w:p w:rsidR="0011103E" w:rsidRDefault="0011103E" w:rsidP="0011103E">
            <w:pPr>
              <w:pStyle w:val="normalnumbered"/>
              <w:numPr>
                <w:ilvl w:val="0"/>
                <w:numId w:val="24"/>
              </w:numPr>
              <w:spacing w:after="120" w:line="264" w:lineRule="auto"/>
              <w:ind w:right="176"/>
              <w:rPr>
                <w:sz w:val="18"/>
                <w:szCs w:val="18"/>
              </w:rPr>
            </w:pPr>
            <w:r>
              <w:rPr>
                <w:sz w:val="18"/>
                <w:szCs w:val="18"/>
              </w:rPr>
              <w:t xml:space="preserve">In 2013/14, there were 8,530 starts on Leisure, Travel and Tourism ‘education and training’ learning aims in Lancashire.  This is a 21% drop from the previous year, influenced in part by the Raising the Participation Age reforms. In 2013/14, starts in Leisure, Travel and Tourism accounted for 3% of all education and training starts in Lancashire.  </w:t>
            </w:r>
          </w:p>
          <w:p w:rsidR="00240D18" w:rsidRDefault="0011103E" w:rsidP="000A3998">
            <w:pPr>
              <w:pStyle w:val="normalnumbered"/>
              <w:numPr>
                <w:ilvl w:val="0"/>
                <w:numId w:val="24"/>
              </w:numPr>
              <w:spacing w:after="120" w:line="264" w:lineRule="auto"/>
              <w:ind w:right="176"/>
              <w:rPr>
                <w:sz w:val="18"/>
                <w:szCs w:val="18"/>
              </w:rPr>
            </w:pPr>
            <w:r>
              <w:rPr>
                <w:sz w:val="18"/>
                <w:szCs w:val="18"/>
              </w:rPr>
              <w:t>In 2013/14, just under half (47%) of the learning aim starts were by learners aged 16-18. Eleven per cent of the starts were by learners aged 19-24 and 42% by learners aged 25+. Learners aged 16-18 were</w:t>
            </w:r>
            <w:r w:rsidR="00116AC6">
              <w:rPr>
                <w:sz w:val="18"/>
                <w:szCs w:val="18"/>
              </w:rPr>
              <w:t xml:space="preserve"> </w:t>
            </w:r>
            <w:r>
              <w:rPr>
                <w:sz w:val="18"/>
                <w:szCs w:val="18"/>
              </w:rPr>
              <w:t xml:space="preserve">the most likely to pursue learning aims at Level 3 while those aged 19-24 were the most likely to pursue </w:t>
            </w:r>
            <w:r w:rsidR="00116AC6">
              <w:rPr>
                <w:sz w:val="18"/>
                <w:szCs w:val="18"/>
              </w:rPr>
              <w:t>learning aims</w:t>
            </w:r>
            <w:r>
              <w:rPr>
                <w:sz w:val="18"/>
                <w:szCs w:val="18"/>
              </w:rPr>
              <w:t xml:space="preserve"> at Level 4. </w:t>
            </w:r>
            <w:r w:rsidR="00240D18" w:rsidRPr="00922D0F">
              <w:rPr>
                <w:sz w:val="18"/>
                <w:szCs w:val="18"/>
              </w:rPr>
              <w:t xml:space="preserve"> </w:t>
            </w:r>
            <w:r w:rsidR="00240D18">
              <w:rPr>
                <w:sz w:val="18"/>
                <w:szCs w:val="18"/>
              </w:rPr>
              <w:t xml:space="preserve"> </w:t>
            </w:r>
          </w:p>
          <w:p w:rsidR="009D3E91" w:rsidRDefault="009D3E91" w:rsidP="009D3E91">
            <w:pPr>
              <w:pStyle w:val="normalnumbered"/>
              <w:numPr>
                <w:ilvl w:val="0"/>
                <w:numId w:val="24"/>
              </w:numPr>
              <w:spacing w:after="120" w:line="264" w:lineRule="auto"/>
              <w:ind w:right="176"/>
              <w:rPr>
                <w:sz w:val="18"/>
                <w:szCs w:val="18"/>
              </w:rPr>
            </w:pPr>
            <w:r>
              <w:rPr>
                <w:sz w:val="18"/>
                <w:szCs w:val="18"/>
              </w:rPr>
              <w:t xml:space="preserve">Lancashire’s providers fare well against the national average success rate for </w:t>
            </w:r>
            <w:r w:rsidR="00116AC6">
              <w:rPr>
                <w:sz w:val="18"/>
                <w:szCs w:val="18"/>
              </w:rPr>
              <w:t>e</w:t>
            </w:r>
            <w:r>
              <w:rPr>
                <w:sz w:val="18"/>
                <w:szCs w:val="18"/>
              </w:rPr>
              <w:t xml:space="preserve">ducation and training provision in Leisure, Travel and Tourism. Across the ten providers that delivered the highest volume of Leisure, Travel and Tourism learning aims in 2013/14, seven had an above average success rate and only three were below.   </w:t>
            </w:r>
          </w:p>
          <w:p w:rsidR="00240D18" w:rsidRDefault="00AC3633" w:rsidP="000A3998">
            <w:pPr>
              <w:pStyle w:val="normalnumbered"/>
              <w:numPr>
                <w:ilvl w:val="0"/>
                <w:numId w:val="24"/>
              </w:numPr>
              <w:spacing w:after="120" w:line="264" w:lineRule="auto"/>
              <w:ind w:right="176"/>
              <w:rPr>
                <w:sz w:val="18"/>
                <w:szCs w:val="18"/>
              </w:rPr>
            </w:pPr>
            <w:r>
              <w:rPr>
                <w:sz w:val="18"/>
                <w:szCs w:val="18"/>
              </w:rPr>
              <w:t xml:space="preserve">With 360 starts across the county in 2013/14, </w:t>
            </w:r>
            <w:r w:rsidRPr="003F6F29">
              <w:rPr>
                <w:sz w:val="18"/>
                <w:szCs w:val="18"/>
              </w:rPr>
              <w:t>Leisure, Travel and Tourism was the sixth most commonly selected apprenticeship framework in Lancashire, although the frameworks in the top three positions had between 7 and 13 times th</w:t>
            </w:r>
            <w:r>
              <w:rPr>
                <w:sz w:val="18"/>
                <w:szCs w:val="18"/>
              </w:rPr>
              <w:t xml:space="preserve">at </w:t>
            </w:r>
            <w:r w:rsidRPr="003F6F29">
              <w:rPr>
                <w:sz w:val="18"/>
                <w:szCs w:val="18"/>
              </w:rPr>
              <w:t>number of starts</w:t>
            </w:r>
            <w:r w:rsidR="00240D18">
              <w:rPr>
                <w:sz w:val="18"/>
                <w:szCs w:val="18"/>
              </w:rPr>
              <w:t xml:space="preserve">.       </w:t>
            </w:r>
          </w:p>
          <w:p w:rsidR="00AC3633" w:rsidRDefault="00AC3633" w:rsidP="00AC3633">
            <w:pPr>
              <w:pStyle w:val="normalnumbered"/>
              <w:numPr>
                <w:ilvl w:val="0"/>
                <w:numId w:val="24"/>
              </w:numPr>
              <w:spacing w:after="120" w:line="264" w:lineRule="auto"/>
              <w:ind w:right="176"/>
              <w:rPr>
                <w:sz w:val="18"/>
                <w:szCs w:val="18"/>
              </w:rPr>
            </w:pPr>
            <w:r>
              <w:rPr>
                <w:sz w:val="18"/>
                <w:szCs w:val="18"/>
              </w:rPr>
              <w:t xml:space="preserve">Following </w:t>
            </w:r>
            <w:r w:rsidRPr="00FB57BE">
              <w:rPr>
                <w:sz w:val="18"/>
                <w:szCs w:val="18"/>
              </w:rPr>
              <w:t xml:space="preserve">a steady year-on-year increase in Leisure, Travel and Tourism apprenticeships in Lancashire, a </w:t>
            </w:r>
            <w:r>
              <w:rPr>
                <w:sz w:val="18"/>
                <w:szCs w:val="18"/>
              </w:rPr>
              <w:t xml:space="preserve">reduction of </w:t>
            </w:r>
            <w:r w:rsidRPr="00FB57BE">
              <w:rPr>
                <w:sz w:val="18"/>
                <w:szCs w:val="18"/>
              </w:rPr>
              <w:t xml:space="preserve">60% was </w:t>
            </w:r>
            <w:r>
              <w:rPr>
                <w:sz w:val="18"/>
                <w:szCs w:val="18"/>
              </w:rPr>
              <w:t>observed between 2011/12 and 2013/14</w:t>
            </w:r>
            <w:r w:rsidR="00240D18">
              <w:rPr>
                <w:sz w:val="18"/>
                <w:szCs w:val="18"/>
              </w:rPr>
              <w:t>.</w:t>
            </w:r>
            <w:r>
              <w:rPr>
                <w:sz w:val="18"/>
                <w:szCs w:val="18"/>
              </w:rPr>
              <w:t xml:space="preserve">  Learners aged 16-18, and those aged 25+, have been responsible for the reduction</w:t>
            </w:r>
            <w:r w:rsidRPr="00FB57BE">
              <w:rPr>
                <w:sz w:val="18"/>
                <w:szCs w:val="18"/>
              </w:rPr>
              <w:t xml:space="preserve">. </w:t>
            </w:r>
            <w:r>
              <w:rPr>
                <w:sz w:val="18"/>
                <w:szCs w:val="18"/>
              </w:rPr>
              <w:t xml:space="preserve"> </w:t>
            </w:r>
            <w:r w:rsidR="00116AC6">
              <w:rPr>
                <w:sz w:val="18"/>
                <w:szCs w:val="18"/>
              </w:rPr>
              <w:t xml:space="preserve"> </w:t>
            </w:r>
          </w:p>
          <w:p w:rsidR="00240D18" w:rsidRPr="00240D18" w:rsidRDefault="00AC3633" w:rsidP="00116AC6">
            <w:pPr>
              <w:pStyle w:val="normalnumbered"/>
              <w:numPr>
                <w:ilvl w:val="0"/>
                <w:numId w:val="24"/>
              </w:numPr>
              <w:spacing w:after="120" w:line="264" w:lineRule="auto"/>
              <w:ind w:right="176"/>
              <w:rPr>
                <w:sz w:val="18"/>
                <w:szCs w:val="18"/>
              </w:rPr>
            </w:pPr>
            <w:r>
              <w:rPr>
                <w:sz w:val="18"/>
                <w:szCs w:val="18"/>
              </w:rPr>
              <w:t>UCLan</w:t>
            </w:r>
            <w:r w:rsidR="00116AC6">
              <w:rPr>
                <w:sz w:val="18"/>
                <w:szCs w:val="18"/>
              </w:rPr>
              <w:t xml:space="preserve"> is the only u</w:t>
            </w:r>
            <w:r>
              <w:rPr>
                <w:sz w:val="18"/>
                <w:szCs w:val="18"/>
              </w:rPr>
              <w:t xml:space="preserve">niversity </w:t>
            </w:r>
            <w:r w:rsidR="00116AC6">
              <w:rPr>
                <w:sz w:val="18"/>
                <w:szCs w:val="18"/>
              </w:rPr>
              <w:t xml:space="preserve">headquartered in the county that currently delivers provision under the </w:t>
            </w:r>
            <w:r>
              <w:rPr>
                <w:sz w:val="18"/>
                <w:szCs w:val="18"/>
              </w:rPr>
              <w:t>‘Hospitality, Leisure, Sport, Tourism and Transport’</w:t>
            </w:r>
            <w:r w:rsidR="00116AC6">
              <w:rPr>
                <w:sz w:val="18"/>
                <w:szCs w:val="18"/>
              </w:rPr>
              <w:t xml:space="preserve"> category. I</w:t>
            </w:r>
            <w:r>
              <w:rPr>
                <w:sz w:val="18"/>
                <w:szCs w:val="18"/>
              </w:rPr>
              <w:t>n 2013/14</w:t>
            </w:r>
            <w:r w:rsidR="00116AC6">
              <w:rPr>
                <w:sz w:val="18"/>
                <w:szCs w:val="18"/>
              </w:rPr>
              <w:t xml:space="preserve">, UCLan </w:t>
            </w:r>
            <w:r>
              <w:rPr>
                <w:sz w:val="18"/>
                <w:szCs w:val="18"/>
              </w:rPr>
              <w:t xml:space="preserve">had 800 first degree students and 260 postgraduate students </w:t>
            </w:r>
            <w:r w:rsidR="00116AC6">
              <w:rPr>
                <w:sz w:val="18"/>
                <w:szCs w:val="18"/>
              </w:rPr>
              <w:t xml:space="preserve">on that </w:t>
            </w:r>
            <w:r>
              <w:rPr>
                <w:sz w:val="18"/>
                <w:szCs w:val="18"/>
              </w:rPr>
              <w:t>provision, equating to 5% of their undergraduate and 6% of their postgraduate cohorts respectively.</w:t>
            </w:r>
            <w:r w:rsidR="00240D18" w:rsidRPr="00240D18">
              <w:rPr>
                <w:sz w:val="18"/>
                <w:szCs w:val="18"/>
              </w:rPr>
              <w:t xml:space="preserve"> </w:t>
            </w:r>
          </w:p>
        </w:tc>
      </w:tr>
    </w:tbl>
    <w:p w:rsidR="00240D18" w:rsidRDefault="00240D18" w:rsidP="00240D18">
      <w:pPr>
        <w:pStyle w:val="normalnumbered"/>
        <w:tabs>
          <w:tab w:val="clear" w:pos="2666"/>
        </w:tabs>
        <w:spacing w:after="120" w:line="264" w:lineRule="auto"/>
        <w:ind w:left="1112" w:right="40" w:firstLine="0"/>
        <w:rPr>
          <w:sz w:val="2"/>
          <w:szCs w:val="2"/>
        </w:rPr>
      </w:pPr>
    </w:p>
    <w:p w:rsidR="000B3FEC" w:rsidRPr="00FB57BE" w:rsidRDefault="0011103E" w:rsidP="000B3FEC">
      <w:pPr>
        <w:keepNext/>
        <w:spacing w:before="360"/>
        <w:ind w:right="1627"/>
        <w:outlineLvl w:val="1"/>
        <w:rPr>
          <w:rFonts w:ascii="Arial" w:hAnsi="Arial" w:cs="Arial"/>
          <w:b/>
          <w:bCs/>
          <w:iCs/>
          <w:color w:val="660066"/>
          <w:sz w:val="22"/>
          <w:szCs w:val="22"/>
        </w:rPr>
      </w:pPr>
      <w:r>
        <w:rPr>
          <w:rFonts w:ascii="Arial" w:hAnsi="Arial" w:cs="Arial"/>
          <w:b/>
          <w:bCs/>
          <w:iCs/>
          <w:color w:val="660066"/>
          <w:sz w:val="22"/>
          <w:szCs w:val="22"/>
        </w:rPr>
        <w:lastRenderedPageBreak/>
        <w:t>Edu</w:t>
      </w:r>
      <w:r w:rsidR="000B3FEC">
        <w:rPr>
          <w:rFonts w:ascii="Arial" w:hAnsi="Arial" w:cs="Arial"/>
          <w:b/>
          <w:bCs/>
          <w:iCs/>
          <w:color w:val="660066"/>
          <w:sz w:val="22"/>
          <w:szCs w:val="22"/>
        </w:rPr>
        <w:t>cation and Training</w:t>
      </w:r>
      <w:bookmarkEnd w:id="101"/>
      <w:bookmarkEnd w:id="102"/>
      <w:bookmarkEnd w:id="103"/>
      <w:r w:rsidR="000B3FEC">
        <w:rPr>
          <w:rFonts w:ascii="Arial" w:hAnsi="Arial" w:cs="Arial"/>
          <w:b/>
          <w:bCs/>
          <w:iCs/>
          <w:color w:val="660066"/>
          <w:sz w:val="22"/>
          <w:szCs w:val="22"/>
        </w:rPr>
        <w:t xml:space="preserve"> </w:t>
      </w:r>
    </w:p>
    <w:p w:rsidR="003A0984" w:rsidRDefault="000B3FEC"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t>‘Education and training’ in this context includes FE provision, community learning and workplace learning.  Apprenticeships are considered separately</w:t>
      </w:r>
      <w:r w:rsidR="003A0984">
        <w:rPr>
          <w:sz w:val="18"/>
          <w:szCs w:val="18"/>
        </w:rPr>
        <w:t xml:space="preserve"> later in the chapter</w:t>
      </w:r>
      <w:r>
        <w:rPr>
          <w:sz w:val="18"/>
          <w:szCs w:val="18"/>
        </w:rPr>
        <w:t xml:space="preserve">.  </w:t>
      </w:r>
    </w:p>
    <w:p w:rsidR="000B3FEC" w:rsidRDefault="000B3FEC"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 </w:t>
      </w:r>
      <w:r w:rsidR="003A0984">
        <w:rPr>
          <w:sz w:val="18"/>
          <w:szCs w:val="18"/>
        </w:rPr>
        <w:t xml:space="preserve">education and training data – and indeed all the data in this chapter – is </w:t>
      </w:r>
      <w:r>
        <w:rPr>
          <w:sz w:val="18"/>
          <w:szCs w:val="18"/>
        </w:rPr>
        <w:t>taken from the Skills Funding Agency’s Data Cube</w:t>
      </w:r>
      <w:r>
        <w:rPr>
          <w:rStyle w:val="FootnoteReference"/>
          <w:sz w:val="18"/>
          <w:szCs w:val="18"/>
        </w:rPr>
        <w:footnoteReference w:id="49"/>
      </w:r>
      <w:r>
        <w:rPr>
          <w:sz w:val="18"/>
          <w:szCs w:val="18"/>
        </w:rPr>
        <w:t xml:space="preserve">.  It covers all learners learning within Lancashire. </w:t>
      </w:r>
      <w:r w:rsidR="00A20632">
        <w:rPr>
          <w:sz w:val="18"/>
          <w:szCs w:val="18"/>
        </w:rPr>
        <w:t>Unless otherwise stated, t</w:t>
      </w:r>
      <w:r>
        <w:rPr>
          <w:sz w:val="18"/>
          <w:szCs w:val="18"/>
        </w:rPr>
        <w:t>hose learners who</w:t>
      </w:r>
      <w:r w:rsidR="003A0984">
        <w:rPr>
          <w:sz w:val="18"/>
          <w:szCs w:val="18"/>
        </w:rPr>
        <w:t xml:space="preserve">se registered home address is </w:t>
      </w:r>
      <w:r>
        <w:rPr>
          <w:sz w:val="18"/>
          <w:szCs w:val="18"/>
        </w:rPr>
        <w:t xml:space="preserve">in Lancashire but </w:t>
      </w:r>
      <w:r w:rsidR="003A0984">
        <w:rPr>
          <w:sz w:val="18"/>
          <w:szCs w:val="18"/>
        </w:rPr>
        <w:t xml:space="preserve">who </w:t>
      </w:r>
      <w:r>
        <w:rPr>
          <w:sz w:val="18"/>
          <w:szCs w:val="18"/>
        </w:rPr>
        <w:t xml:space="preserve">learn outside </w:t>
      </w:r>
      <w:r w:rsidR="003A0984">
        <w:rPr>
          <w:sz w:val="18"/>
          <w:szCs w:val="18"/>
        </w:rPr>
        <w:t xml:space="preserve">of the county </w:t>
      </w:r>
      <w:r w:rsidR="00A20632">
        <w:rPr>
          <w:sz w:val="18"/>
          <w:szCs w:val="18"/>
        </w:rPr>
        <w:t>are excluded from the analysis</w:t>
      </w:r>
      <w:r>
        <w:rPr>
          <w:sz w:val="18"/>
          <w:szCs w:val="18"/>
        </w:rPr>
        <w:t xml:space="preserve">.  </w:t>
      </w:r>
    </w:p>
    <w:p w:rsidR="000B3FEC" w:rsidRPr="00E52887" w:rsidRDefault="000B3FEC" w:rsidP="000B3FEC">
      <w:pPr>
        <w:tabs>
          <w:tab w:val="num" w:pos="860"/>
          <w:tab w:val="num" w:pos="1105"/>
        </w:tabs>
        <w:spacing w:before="240" w:after="120" w:line="288" w:lineRule="auto"/>
        <w:jc w:val="both"/>
        <w:rPr>
          <w:rFonts w:ascii="Arial" w:hAnsi="Arial" w:cs="Arial"/>
          <w:b/>
          <w:i/>
          <w:color w:val="660066"/>
          <w:sz w:val="20"/>
          <w:szCs w:val="20"/>
        </w:rPr>
      </w:pPr>
      <w:r w:rsidRPr="00E52887">
        <w:rPr>
          <w:rFonts w:ascii="Arial" w:hAnsi="Arial" w:cs="Arial"/>
          <w:b/>
          <w:i/>
          <w:color w:val="660066"/>
          <w:sz w:val="20"/>
          <w:szCs w:val="20"/>
        </w:rPr>
        <w:t xml:space="preserve">Starts: overall, by age and level </w:t>
      </w:r>
    </w:p>
    <w:p w:rsidR="000B3FEC" w:rsidRDefault="000B3FEC"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t>In 2013/14, there were 8,530 starts on Leisure, Travel and Tourism learning aims</w:t>
      </w:r>
      <w:r w:rsidR="003A0984">
        <w:rPr>
          <w:sz w:val="18"/>
          <w:szCs w:val="18"/>
        </w:rPr>
        <w:t xml:space="preserve"> in Lancashire</w:t>
      </w:r>
      <w:r>
        <w:rPr>
          <w:sz w:val="18"/>
          <w:szCs w:val="18"/>
        </w:rPr>
        <w:t xml:space="preserve">.  This is a reduction </w:t>
      </w:r>
      <w:r w:rsidR="00E52887">
        <w:rPr>
          <w:sz w:val="18"/>
          <w:szCs w:val="18"/>
        </w:rPr>
        <w:t xml:space="preserve">from the previous year </w:t>
      </w:r>
      <w:r>
        <w:rPr>
          <w:sz w:val="18"/>
          <w:szCs w:val="18"/>
        </w:rPr>
        <w:t>of 2,290 starts</w:t>
      </w:r>
      <w:r w:rsidR="00DE5CBB">
        <w:rPr>
          <w:sz w:val="18"/>
          <w:szCs w:val="18"/>
        </w:rPr>
        <w:t>:</w:t>
      </w:r>
      <w:r w:rsidR="00E52887">
        <w:rPr>
          <w:sz w:val="18"/>
          <w:szCs w:val="18"/>
        </w:rPr>
        <w:t xml:space="preserve"> </w:t>
      </w:r>
      <w:r>
        <w:rPr>
          <w:sz w:val="18"/>
          <w:szCs w:val="18"/>
        </w:rPr>
        <w:t xml:space="preserve">a 21% drop </w:t>
      </w:r>
      <w:r w:rsidR="00E52887">
        <w:rPr>
          <w:sz w:val="18"/>
          <w:szCs w:val="18"/>
        </w:rPr>
        <w:t xml:space="preserve">which </w:t>
      </w:r>
      <w:r w:rsidR="003F6F29">
        <w:rPr>
          <w:sz w:val="18"/>
          <w:szCs w:val="18"/>
        </w:rPr>
        <w:t>has been</w:t>
      </w:r>
      <w:r w:rsidR="00E52887">
        <w:rPr>
          <w:sz w:val="18"/>
          <w:szCs w:val="18"/>
        </w:rPr>
        <w:t xml:space="preserve"> </w:t>
      </w:r>
      <w:r w:rsidR="00B5296C">
        <w:rPr>
          <w:sz w:val="18"/>
          <w:szCs w:val="18"/>
        </w:rPr>
        <w:t>influenced, in part at least, by the Raisin</w:t>
      </w:r>
      <w:r w:rsidR="00E52887">
        <w:rPr>
          <w:sz w:val="18"/>
          <w:szCs w:val="18"/>
        </w:rPr>
        <w:t>g the Participation Age reforms</w:t>
      </w:r>
      <w:r>
        <w:rPr>
          <w:sz w:val="18"/>
          <w:szCs w:val="18"/>
        </w:rPr>
        <w:t xml:space="preserve">.  </w:t>
      </w:r>
      <w:r w:rsidR="003F6F29">
        <w:rPr>
          <w:sz w:val="18"/>
          <w:szCs w:val="18"/>
        </w:rPr>
        <w:t>In 2013/14, starts i</w:t>
      </w:r>
      <w:r w:rsidR="00502860">
        <w:rPr>
          <w:sz w:val="18"/>
          <w:szCs w:val="18"/>
        </w:rPr>
        <w:t xml:space="preserve">n Leisure, Travel and Tourism accounted for 3% of </w:t>
      </w:r>
      <w:r w:rsidR="00E52887">
        <w:rPr>
          <w:sz w:val="18"/>
          <w:szCs w:val="18"/>
        </w:rPr>
        <w:t xml:space="preserve">all education and training </w:t>
      </w:r>
      <w:r w:rsidR="00502860">
        <w:rPr>
          <w:sz w:val="18"/>
          <w:szCs w:val="18"/>
        </w:rPr>
        <w:t xml:space="preserve">starts in Lancashire.  </w:t>
      </w:r>
    </w:p>
    <w:tbl>
      <w:tblPr>
        <w:tblStyle w:val="TableGrid"/>
        <w:tblW w:w="6345" w:type="dxa"/>
        <w:jc w:val="center"/>
        <w:tblLook w:val="04A0" w:firstRow="1" w:lastRow="0" w:firstColumn="1" w:lastColumn="0" w:noHBand="0" w:noVBand="1"/>
      </w:tblPr>
      <w:tblGrid>
        <w:gridCol w:w="2317"/>
        <w:gridCol w:w="1375"/>
        <w:gridCol w:w="1261"/>
        <w:gridCol w:w="1392"/>
      </w:tblGrid>
      <w:tr w:rsidR="000B3FEC" w:rsidRPr="000B3FEC" w:rsidTr="00DE5CBB">
        <w:trPr>
          <w:trHeight w:val="255"/>
          <w:jc w:val="center"/>
        </w:trPr>
        <w:tc>
          <w:tcPr>
            <w:tcW w:w="63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0B3FEC" w:rsidRPr="0036124B" w:rsidRDefault="000B3FEC" w:rsidP="00924146">
            <w:pPr>
              <w:rPr>
                <w:rFonts w:ascii="Arial" w:hAnsi="Arial" w:cs="Arial"/>
                <w:b/>
                <w:sz w:val="18"/>
                <w:szCs w:val="18"/>
                <w:lang w:eastAsia="en-GB"/>
              </w:rPr>
            </w:pPr>
            <w:r w:rsidRPr="0036124B">
              <w:rPr>
                <w:rFonts w:ascii="Arial" w:hAnsi="Arial" w:cs="Arial"/>
                <w:b/>
                <w:sz w:val="18"/>
                <w:szCs w:val="18"/>
                <w:lang w:eastAsia="en-GB"/>
              </w:rPr>
              <w:t>Leisure, Travel and Tourism Learner Aim Starts by type</w:t>
            </w:r>
          </w:p>
        </w:tc>
      </w:tr>
      <w:tr w:rsidR="000B3FEC"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924146">
            <w:pPr>
              <w:rPr>
                <w:rFonts w:ascii="Arial" w:hAnsi="Arial" w:cs="Arial"/>
                <w:color w:val="000000"/>
                <w:sz w:val="18"/>
                <w:szCs w:val="18"/>
                <w:lang w:eastAsia="en-GB"/>
              </w:rPr>
            </w:pPr>
          </w:p>
        </w:tc>
        <w:tc>
          <w:tcPr>
            <w:tcW w:w="13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36124B">
            <w:pPr>
              <w:jc w:val="right"/>
              <w:rPr>
                <w:rFonts w:ascii="Arial" w:hAnsi="Arial" w:cs="Arial"/>
                <w:b/>
                <w:color w:val="000000"/>
                <w:sz w:val="18"/>
                <w:szCs w:val="18"/>
                <w:lang w:eastAsia="en-GB"/>
              </w:rPr>
            </w:pPr>
            <w:r w:rsidRPr="0036124B">
              <w:rPr>
                <w:rFonts w:ascii="Arial" w:hAnsi="Arial" w:cs="Arial"/>
                <w:b/>
                <w:color w:val="000000"/>
                <w:sz w:val="18"/>
                <w:szCs w:val="18"/>
                <w:lang w:eastAsia="en-GB"/>
              </w:rPr>
              <w:t>2012/13</w:t>
            </w:r>
          </w:p>
        </w:tc>
        <w:tc>
          <w:tcPr>
            <w:tcW w:w="1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36124B">
            <w:pPr>
              <w:jc w:val="right"/>
              <w:rPr>
                <w:rFonts w:ascii="Arial" w:hAnsi="Arial" w:cs="Arial"/>
                <w:b/>
                <w:color w:val="000000"/>
                <w:sz w:val="18"/>
                <w:szCs w:val="18"/>
                <w:lang w:eastAsia="en-GB"/>
              </w:rPr>
            </w:pPr>
            <w:r w:rsidRPr="0036124B">
              <w:rPr>
                <w:rFonts w:ascii="Arial" w:hAnsi="Arial" w:cs="Arial"/>
                <w:b/>
                <w:color w:val="000000"/>
                <w:sz w:val="18"/>
                <w:szCs w:val="18"/>
                <w:lang w:eastAsia="en-GB"/>
              </w:rPr>
              <w:t>2013/14</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3FEC" w:rsidRPr="0036124B" w:rsidRDefault="000B3FEC" w:rsidP="0036124B">
            <w:pPr>
              <w:jc w:val="right"/>
              <w:rPr>
                <w:rFonts w:ascii="Arial" w:hAnsi="Arial" w:cs="Arial"/>
                <w:b/>
                <w:color w:val="000000"/>
                <w:sz w:val="18"/>
                <w:szCs w:val="18"/>
                <w:lang w:eastAsia="en-GB"/>
              </w:rPr>
            </w:pPr>
            <w:r w:rsidRPr="0036124B">
              <w:rPr>
                <w:rFonts w:ascii="Arial" w:hAnsi="Arial" w:cs="Arial"/>
                <w:b/>
                <w:color w:val="000000"/>
                <w:sz w:val="18"/>
                <w:szCs w:val="18"/>
                <w:lang w:eastAsia="en-GB"/>
              </w:rPr>
              <w:t>Change 2012– 20/14</w:t>
            </w:r>
          </w:p>
        </w:tc>
      </w:tr>
      <w:tr w:rsidR="000B3FEC"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924146">
            <w:pPr>
              <w:rPr>
                <w:rFonts w:ascii="Arial" w:hAnsi="Arial" w:cs="Arial"/>
                <w:color w:val="000000"/>
                <w:sz w:val="18"/>
                <w:szCs w:val="18"/>
                <w:lang w:eastAsia="en-GB"/>
              </w:rPr>
            </w:pPr>
          </w:p>
        </w:tc>
        <w:tc>
          <w:tcPr>
            <w:tcW w:w="13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0B3FEC">
            <w:pPr>
              <w:jc w:val="right"/>
              <w:rPr>
                <w:rFonts w:ascii="Arial" w:hAnsi="Arial" w:cs="Arial"/>
                <w:b/>
                <w:color w:val="000000"/>
                <w:sz w:val="18"/>
                <w:szCs w:val="18"/>
                <w:lang w:eastAsia="en-GB"/>
              </w:rPr>
            </w:pPr>
            <w:r w:rsidRPr="0036124B">
              <w:rPr>
                <w:rFonts w:ascii="Arial" w:hAnsi="Arial" w:cs="Arial"/>
                <w:b/>
                <w:color w:val="000000"/>
                <w:sz w:val="18"/>
                <w:szCs w:val="18"/>
                <w:lang w:eastAsia="en-GB"/>
              </w:rPr>
              <w:t>No.</w:t>
            </w:r>
          </w:p>
        </w:tc>
        <w:tc>
          <w:tcPr>
            <w:tcW w:w="1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0B3FEC">
            <w:pPr>
              <w:jc w:val="right"/>
              <w:rPr>
                <w:rFonts w:ascii="Arial" w:hAnsi="Arial" w:cs="Arial"/>
                <w:b/>
                <w:color w:val="000000"/>
                <w:sz w:val="18"/>
                <w:szCs w:val="18"/>
                <w:lang w:eastAsia="en-GB"/>
              </w:rPr>
            </w:pPr>
            <w:r w:rsidRPr="0036124B">
              <w:rPr>
                <w:rFonts w:ascii="Arial" w:hAnsi="Arial" w:cs="Arial"/>
                <w:b/>
                <w:color w:val="000000"/>
                <w:sz w:val="18"/>
                <w:szCs w:val="18"/>
                <w:lang w:eastAsia="en-GB"/>
              </w:rPr>
              <w:t>No.</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924146">
            <w:pPr>
              <w:jc w:val="center"/>
              <w:rPr>
                <w:rFonts w:ascii="Arial" w:hAnsi="Arial" w:cs="Arial"/>
                <w:b/>
                <w:color w:val="000000"/>
                <w:sz w:val="18"/>
                <w:szCs w:val="18"/>
                <w:lang w:eastAsia="en-GB"/>
              </w:rPr>
            </w:pPr>
            <w:r w:rsidRPr="0036124B">
              <w:rPr>
                <w:rFonts w:ascii="Arial" w:hAnsi="Arial" w:cs="Arial"/>
                <w:b/>
                <w:color w:val="000000"/>
                <w:sz w:val="18"/>
                <w:szCs w:val="18"/>
                <w:lang w:eastAsia="en-GB"/>
              </w:rPr>
              <w:t>%</w:t>
            </w:r>
          </w:p>
        </w:tc>
      </w:tr>
      <w:tr w:rsidR="000B3FEC"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924146">
            <w:pPr>
              <w:rPr>
                <w:rFonts w:ascii="Arial" w:hAnsi="Arial" w:cs="Arial"/>
                <w:color w:val="000000"/>
                <w:sz w:val="18"/>
                <w:szCs w:val="18"/>
                <w:lang w:eastAsia="en-GB"/>
              </w:rPr>
            </w:pPr>
            <w:r w:rsidRPr="0036124B">
              <w:rPr>
                <w:rFonts w:ascii="Arial" w:hAnsi="Arial" w:cs="Arial"/>
                <w:color w:val="000000"/>
                <w:sz w:val="18"/>
                <w:szCs w:val="18"/>
                <w:lang w:eastAsia="en-GB"/>
              </w:rPr>
              <w:t>Education and Training</w:t>
            </w:r>
          </w:p>
        </w:tc>
        <w:tc>
          <w:tcPr>
            <w:tcW w:w="13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924146">
            <w:pPr>
              <w:jc w:val="right"/>
              <w:rPr>
                <w:rFonts w:ascii="Arial" w:hAnsi="Arial" w:cs="Arial"/>
                <w:color w:val="000000"/>
                <w:sz w:val="18"/>
                <w:szCs w:val="18"/>
                <w:lang w:eastAsia="en-GB"/>
              </w:rPr>
            </w:pPr>
            <w:r w:rsidRPr="0036124B">
              <w:rPr>
                <w:rFonts w:ascii="Arial" w:hAnsi="Arial" w:cs="Arial"/>
                <w:color w:val="000000"/>
                <w:sz w:val="18"/>
                <w:szCs w:val="18"/>
                <w:lang w:eastAsia="en-GB"/>
              </w:rPr>
              <w:t>10,820</w:t>
            </w:r>
          </w:p>
        </w:tc>
        <w:tc>
          <w:tcPr>
            <w:tcW w:w="1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0B3FEC">
            <w:pPr>
              <w:jc w:val="right"/>
              <w:rPr>
                <w:rFonts w:ascii="Arial" w:hAnsi="Arial" w:cs="Arial"/>
                <w:color w:val="000000"/>
                <w:sz w:val="18"/>
                <w:szCs w:val="18"/>
                <w:lang w:eastAsia="en-GB"/>
              </w:rPr>
            </w:pPr>
            <w:r w:rsidRPr="0036124B">
              <w:rPr>
                <w:rFonts w:ascii="Arial" w:hAnsi="Arial" w:cs="Arial"/>
                <w:color w:val="000000"/>
                <w:sz w:val="18"/>
                <w:szCs w:val="18"/>
                <w:lang w:eastAsia="en-GB"/>
              </w:rPr>
              <w:t>8,530</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0B3FEC">
            <w:pPr>
              <w:jc w:val="right"/>
              <w:rPr>
                <w:rFonts w:ascii="Arial" w:hAnsi="Arial" w:cs="Arial"/>
                <w:color w:val="000000"/>
                <w:sz w:val="18"/>
                <w:szCs w:val="18"/>
                <w:lang w:eastAsia="en-GB"/>
              </w:rPr>
            </w:pPr>
            <w:r w:rsidRPr="0036124B">
              <w:rPr>
                <w:rFonts w:ascii="Arial" w:hAnsi="Arial" w:cs="Arial"/>
                <w:color w:val="000000"/>
                <w:sz w:val="18"/>
                <w:szCs w:val="18"/>
                <w:lang w:eastAsia="en-GB"/>
              </w:rPr>
              <w:t>-21%</w:t>
            </w:r>
          </w:p>
        </w:tc>
      </w:tr>
      <w:tr w:rsidR="000B3FEC" w:rsidRPr="000B3FEC" w:rsidTr="00DE5CBB">
        <w:trPr>
          <w:trHeight w:val="255"/>
          <w:jc w:val="center"/>
        </w:trPr>
        <w:tc>
          <w:tcPr>
            <w:tcW w:w="63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6124B" w:rsidRDefault="000B3FEC" w:rsidP="00924146">
            <w:pPr>
              <w:rPr>
                <w:rFonts w:ascii="Arial" w:hAnsi="Arial" w:cs="Arial"/>
                <w:sz w:val="18"/>
                <w:szCs w:val="18"/>
                <w:lang w:eastAsia="en-GB"/>
              </w:rPr>
            </w:pPr>
            <w:r w:rsidRPr="0036124B">
              <w:rPr>
                <w:rFonts w:ascii="Arial" w:hAnsi="Arial" w:cs="Arial"/>
                <w:sz w:val="18"/>
                <w:szCs w:val="18"/>
                <w:lang w:eastAsia="en-GB"/>
              </w:rPr>
              <w:t>Source: Data Cube</w:t>
            </w:r>
          </w:p>
        </w:tc>
      </w:tr>
    </w:tbl>
    <w:p w:rsidR="000B3FEC" w:rsidRPr="000B3FEC" w:rsidRDefault="000B3FEC" w:rsidP="000B3FEC">
      <w:pPr>
        <w:ind w:right="40"/>
        <w:jc w:val="both"/>
        <w:rPr>
          <w:rFonts w:ascii="Arial" w:hAnsi="Arial"/>
          <w:b/>
          <w:color w:val="660066"/>
          <w:sz w:val="10"/>
          <w:szCs w:val="10"/>
          <w:lang w:eastAsia="en-GB"/>
        </w:rPr>
      </w:pPr>
      <w:r>
        <w:rPr>
          <w:rFonts w:ascii="Arial" w:hAnsi="Arial"/>
          <w:b/>
          <w:color w:val="660066"/>
          <w:lang w:eastAsia="en-GB"/>
        </w:rPr>
        <w:t xml:space="preserve"> </w:t>
      </w:r>
    </w:p>
    <w:p w:rsidR="000B3FEC" w:rsidRDefault="000B3FEC"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As shown </w:t>
      </w:r>
      <w:r w:rsidR="00FE28FE">
        <w:rPr>
          <w:sz w:val="18"/>
          <w:szCs w:val="18"/>
        </w:rPr>
        <w:t>below</w:t>
      </w:r>
      <w:r>
        <w:rPr>
          <w:sz w:val="18"/>
          <w:szCs w:val="18"/>
        </w:rPr>
        <w:t xml:space="preserve">, a considerable proportion of the reduction </w:t>
      </w:r>
      <w:r w:rsidR="00E52887">
        <w:rPr>
          <w:sz w:val="18"/>
          <w:szCs w:val="18"/>
        </w:rPr>
        <w:t xml:space="preserve">in starts </w:t>
      </w:r>
      <w:r>
        <w:rPr>
          <w:sz w:val="18"/>
          <w:szCs w:val="18"/>
        </w:rPr>
        <w:t>(1,380 starts</w:t>
      </w:r>
      <w:r w:rsidR="00DE5CBB">
        <w:rPr>
          <w:sz w:val="18"/>
          <w:szCs w:val="18"/>
        </w:rPr>
        <w:t xml:space="preserve"> or 60%</w:t>
      </w:r>
      <w:r>
        <w:rPr>
          <w:sz w:val="18"/>
          <w:szCs w:val="18"/>
        </w:rPr>
        <w:t xml:space="preserve">) is accounted for by provision at Levels 1 and 2.  In proportionate terms there have been notable increases in provision at Entry Level and Level 4, although in both cases the absolute numbers remain low.    </w:t>
      </w:r>
    </w:p>
    <w:p w:rsidR="00E52887" w:rsidRDefault="00E52887"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The overall reduction in starts is of some concern for the visitor economy in Lancashire, where employers have been of the view for some time that too few </w:t>
      </w:r>
      <w:r>
        <w:rPr>
          <w:sz w:val="18"/>
          <w:szCs w:val="18"/>
        </w:rPr>
        <w:lastRenderedPageBreak/>
        <w:t xml:space="preserve">young people are choosing </w:t>
      </w:r>
      <w:r w:rsidR="003F6F29">
        <w:rPr>
          <w:sz w:val="18"/>
          <w:szCs w:val="18"/>
        </w:rPr>
        <w:t xml:space="preserve">post-compulsory study, </w:t>
      </w:r>
      <w:r>
        <w:rPr>
          <w:sz w:val="18"/>
          <w:szCs w:val="18"/>
        </w:rPr>
        <w:t xml:space="preserve">jobs and careers in the sector.  It also adds weight to the actions in Chapter </w:t>
      </w:r>
      <w:r w:rsidR="007E1190">
        <w:rPr>
          <w:sz w:val="18"/>
          <w:szCs w:val="18"/>
        </w:rPr>
        <w:t>Seven</w:t>
      </w:r>
      <w:r>
        <w:rPr>
          <w:sz w:val="18"/>
          <w:szCs w:val="18"/>
        </w:rPr>
        <w:t xml:space="preserve"> regarding information, advice and guidance. </w:t>
      </w:r>
    </w:p>
    <w:tbl>
      <w:tblPr>
        <w:tblStyle w:val="TableGrid"/>
        <w:tblW w:w="6345" w:type="dxa"/>
        <w:jc w:val="center"/>
        <w:tblLook w:val="04A0" w:firstRow="1" w:lastRow="0" w:firstColumn="1" w:lastColumn="0" w:noHBand="0" w:noVBand="1"/>
      </w:tblPr>
      <w:tblGrid>
        <w:gridCol w:w="1320"/>
        <w:gridCol w:w="1056"/>
        <w:gridCol w:w="849"/>
        <w:gridCol w:w="922"/>
        <w:gridCol w:w="923"/>
        <w:gridCol w:w="1275"/>
      </w:tblGrid>
      <w:tr w:rsidR="000B3FEC" w:rsidRPr="007D527D" w:rsidTr="00DE5CBB">
        <w:trPr>
          <w:trHeight w:val="255"/>
          <w:jc w:val="center"/>
        </w:trPr>
        <w:tc>
          <w:tcPr>
            <w:tcW w:w="63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0B3FEC" w:rsidRPr="007D527D" w:rsidRDefault="000B3FEC" w:rsidP="00924146">
            <w:pPr>
              <w:rPr>
                <w:rFonts w:ascii="Arial" w:hAnsi="Arial" w:cs="Arial"/>
                <w:b/>
                <w:sz w:val="18"/>
                <w:szCs w:val="18"/>
              </w:rPr>
            </w:pPr>
            <w:r>
              <w:rPr>
                <w:rFonts w:ascii="Arial" w:hAnsi="Arial" w:cs="Arial"/>
                <w:b/>
                <w:sz w:val="18"/>
                <w:szCs w:val="18"/>
              </w:rPr>
              <w:t>Leisure, Travel and Tourism</w:t>
            </w:r>
            <w:r w:rsidRPr="00BD6F81">
              <w:rPr>
                <w:rFonts w:ascii="Arial" w:hAnsi="Arial" w:cs="Arial"/>
                <w:b/>
                <w:sz w:val="18"/>
                <w:szCs w:val="18"/>
              </w:rPr>
              <w:t xml:space="preserve"> Learner Aim Starts by level</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p>
        </w:tc>
        <w:tc>
          <w:tcPr>
            <w:tcW w:w="19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2012/13</w:t>
            </w:r>
          </w:p>
        </w:tc>
        <w:tc>
          <w:tcPr>
            <w:tcW w:w="18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2013/14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Change 2012 – 2014</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No.</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No.</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r w:rsidRPr="003A0984">
              <w:rPr>
                <w:rFonts w:ascii="Arial" w:hAnsi="Arial" w:cs="Arial"/>
                <w:color w:val="000000"/>
                <w:sz w:val="18"/>
                <w:szCs w:val="18"/>
              </w:rPr>
              <w:t>Entry level</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40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0%</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100</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E52887">
            <w:pPr>
              <w:jc w:val="right"/>
              <w:rPr>
                <w:rFonts w:ascii="Arial" w:hAnsi="Arial" w:cs="Arial"/>
                <w:color w:val="000000"/>
                <w:sz w:val="18"/>
                <w:szCs w:val="18"/>
              </w:rPr>
            </w:pPr>
            <w:r w:rsidRPr="003A0984">
              <w:rPr>
                <w:rFonts w:ascii="Arial" w:hAnsi="Arial" w:cs="Arial"/>
                <w:color w:val="000000"/>
                <w:sz w:val="18"/>
                <w:szCs w:val="18"/>
              </w:rPr>
              <w:t>1</w:t>
            </w:r>
            <w:r w:rsidR="00E52887">
              <w:rPr>
                <w:rFonts w:ascii="Arial" w:hAnsi="Arial" w:cs="Arial"/>
                <w:color w:val="000000"/>
                <w:sz w:val="18"/>
                <w:szCs w:val="18"/>
              </w:rPr>
              <w:t>50</w:t>
            </w:r>
            <w:r w:rsidRPr="003A0984">
              <w:rPr>
                <w:rFonts w:ascii="Arial" w:hAnsi="Arial" w:cs="Arial"/>
                <w:color w:val="000000"/>
                <w:sz w:val="18"/>
                <w:szCs w:val="18"/>
              </w:rPr>
              <w:t>%</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r w:rsidRPr="003A0984">
              <w:rPr>
                <w:rFonts w:ascii="Arial" w:hAnsi="Arial" w:cs="Arial"/>
                <w:color w:val="000000"/>
                <w:sz w:val="18"/>
                <w:szCs w:val="18"/>
              </w:rPr>
              <w:t>Level 1</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2,150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20%</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1,160</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-46%</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r w:rsidRPr="003A0984">
              <w:rPr>
                <w:rFonts w:ascii="Arial" w:hAnsi="Arial" w:cs="Arial"/>
                <w:color w:val="000000"/>
                <w:sz w:val="18"/>
                <w:szCs w:val="18"/>
              </w:rPr>
              <w:t>Level 2</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2,280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21%</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1,890</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22%</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-17%</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r w:rsidRPr="003A0984">
              <w:rPr>
                <w:rFonts w:ascii="Arial" w:hAnsi="Arial" w:cs="Arial"/>
                <w:color w:val="000000"/>
                <w:sz w:val="18"/>
                <w:szCs w:val="18"/>
              </w:rPr>
              <w:t>Level 3</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2,760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26%</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2,600</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30%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-6%</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r w:rsidRPr="003A0984">
              <w:rPr>
                <w:rFonts w:ascii="Arial" w:hAnsi="Arial" w:cs="Arial"/>
                <w:color w:val="000000"/>
                <w:sz w:val="18"/>
                <w:szCs w:val="18"/>
              </w:rPr>
              <w:t xml:space="preserve">Level 4 </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190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280</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3%</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46%</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r w:rsidRPr="003A0984">
              <w:rPr>
                <w:rFonts w:ascii="Arial" w:hAnsi="Arial" w:cs="Arial"/>
                <w:color w:val="000000"/>
                <w:sz w:val="18"/>
                <w:szCs w:val="18"/>
              </w:rPr>
              <w:t>Higher level</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80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-100%</w:t>
            </w:r>
          </w:p>
        </w:tc>
      </w:tr>
      <w:tr w:rsidR="000B3FEC" w:rsidRPr="007D527D"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color w:val="000000"/>
                <w:sz w:val="18"/>
                <w:szCs w:val="18"/>
              </w:rPr>
            </w:pPr>
            <w:r w:rsidRPr="003A0984">
              <w:rPr>
                <w:rFonts w:ascii="Arial" w:hAnsi="Arial" w:cs="Arial"/>
                <w:color w:val="000000"/>
                <w:sz w:val="18"/>
                <w:szCs w:val="18"/>
              </w:rPr>
              <w:t>Not applicable</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3,310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31%</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2,510</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29%</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color w:val="000000"/>
                <w:sz w:val="18"/>
                <w:szCs w:val="18"/>
              </w:rPr>
            </w:pPr>
            <w:r w:rsidRPr="003A0984">
              <w:rPr>
                <w:rFonts w:ascii="Arial" w:hAnsi="Arial" w:cs="Arial"/>
                <w:color w:val="000000"/>
                <w:sz w:val="18"/>
                <w:szCs w:val="18"/>
              </w:rPr>
              <w:t>-24%</w:t>
            </w:r>
          </w:p>
        </w:tc>
      </w:tr>
      <w:tr w:rsidR="000B3FEC" w:rsidRPr="006F5621" w:rsidTr="00DE5CBB">
        <w:trPr>
          <w:trHeight w:val="255"/>
          <w:jc w:val="center"/>
        </w:trPr>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b/>
                <w:color w:val="000000"/>
                <w:sz w:val="18"/>
                <w:szCs w:val="18"/>
              </w:rPr>
            </w:pPr>
            <w:r w:rsidRPr="003A0984">
              <w:rPr>
                <w:rFonts w:ascii="Arial" w:hAnsi="Arial" w:cs="Arial"/>
                <w:b/>
                <w:color w:val="000000"/>
                <w:sz w:val="18"/>
                <w:szCs w:val="18"/>
              </w:rPr>
              <w:t>Total</w:t>
            </w:r>
          </w:p>
        </w:tc>
        <w:tc>
          <w:tcPr>
            <w:tcW w:w="10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10,820</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100%</w:t>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8,530</w:t>
            </w:r>
          </w:p>
        </w:tc>
        <w:tc>
          <w:tcPr>
            <w:tcW w:w="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100%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B5296C">
            <w:pPr>
              <w:jc w:val="right"/>
              <w:rPr>
                <w:rFonts w:ascii="Arial" w:hAnsi="Arial" w:cs="Arial"/>
                <w:b/>
                <w:color w:val="000000"/>
                <w:sz w:val="18"/>
                <w:szCs w:val="18"/>
              </w:rPr>
            </w:pPr>
            <w:r w:rsidRPr="003A0984">
              <w:rPr>
                <w:rFonts w:ascii="Arial" w:hAnsi="Arial" w:cs="Arial"/>
                <w:b/>
                <w:color w:val="000000"/>
                <w:sz w:val="18"/>
                <w:szCs w:val="18"/>
              </w:rPr>
              <w:t>-21%</w:t>
            </w:r>
          </w:p>
        </w:tc>
      </w:tr>
      <w:tr w:rsidR="000B3FEC" w:rsidRPr="007D527D" w:rsidTr="00DE5CBB">
        <w:trPr>
          <w:trHeight w:val="255"/>
          <w:jc w:val="center"/>
        </w:trPr>
        <w:tc>
          <w:tcPr>
            <w:tcW w:w="63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FEC" w:rsidRPr="003A0984" w:rsidRDefault="000B3FEC" w:rsidP="00924146">
            <w:pPr>
              <w:rPr>
                <w:rFonts w:ascii="Arial" w:hAnsi="Arial" w:cs="Arial"/>
                <w:sz w:val="18"/>
                <w:szCs w:val="18"/>
              </w:rPr>
            </w:pPr>
            <w:r w:rsidRPr="003A0984">
              <w:rPr>
                <w:rFonts w:ascii="Arial" w:hAnsi="Arial" w:cs="Arial"/>
                <w:sz w:val="18"/>
                <w:szCs w:val="18"/>
              </w:rPr>
              <w:t>Source: Data Cube</w:t>
            </w:r>
          </w:p>
        </w:tc>
      </w:tr>
    </w:tbl>
    <w:p w:rsidR="000B3FEC" w:rsidRDefault="000B3FEC" w:rsidP="000B3FEC">
      <w:pPr>
        <w:jc w:val="both"/>
        <w:rPr>
          <w:rFonts w:ascii="Arial" w:hAnsi="Arial" w:cs="Arial"/>
          <w:b/>
          <w:color w:val="660066"/>
          <w:sz w:val="20"/>
          <w:szCs w:val="20"/>
          <w:lang w:eastAsia="en-GB"/>
        </w:rPr>
      </w:pPr>
    </w:p>
    <w:p w:rsidR="00502860" w:rsidRDefault="000B3FEC"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In 2013/14, </w:t>
      </w:r>
      <w:r w:rsidR="00502860">
        <w:rPr>
          <w:sz w:val="18"/>
          <w:szCs w:val="18"/>
        </w:rPr>
        <w:t>just under half (47%) of the learning aim starts were by learners aged 16-18.  Eleven per cent of the starts were by learners aged 19-24 and 42% by learners aged 25+</w:t>
      </w:r>
      <w:r>
        <w:rPr>
          <w:sz w:val="18"/>
          <w:szCs w:val="18"/>
        </w:rPr>
        <w:t>.</w:t>
      </w:r>
      <w:r w:rsidR="00502860">
        <w:rPr>
          <w:sz w:val="18"/>
          <w:szCs w:val="18"/>
        </w:rPr>
        <w:t xml:space="preserve">  </w:t>
      </w:r>
      <w:r>
        <w:rPr>
          <w:sz w:val="18"/>
          <w:szCs w:val="18"/>
        </w:rPr>
        <w:t xml:space="preserve"> </w:t>
      </w:r>
      <w:r w:rsidR="008D4796">
        <w:rPr>
          <w:sz w:val="18"/>
          <w:szCs w:val="18"/>
        </w:rPr>
        <w:t>R</w:t>
      </w:r>
      <w:r w:rsidR="00B5296C">
        <w:rPr>
          <w:sz w:val="18"/>
          <w:szCs w:val="18"/>
        </w:rPr>
        <w:t xml:space="preserve">eflecting the younger age profile of the visitor economy workforce, learners aged 16-18 and 16-24 are over-represented on visitor economy provision relative to provision across the Lancashire LEP area as a whole. </w:t>
      </w:r>
    </w:p>
    <w:tbl>
      <w:tblPr>
        <w:tblStyle w:val="TableGrid"/>
        <w:tblW w:w="6345" w:type="dxa"/>
        <w:jc w:val="center"/>
        <w:tblLook w:val="04A0" w:firstRow="1" w:lastRow="0" w:firstColumn="1" w:lastColumn="0" w:noHBand="0" w:noVBand="1"/>
      </w:tblPr>
      <w:tblGrid>
        <w:gridCol w:w="2317"/>
        <w:gridCol w:w="1942"/>
        <w:gridCol w:w="2086"/>
      </w:tblGrid>
      <w:tr w:rsidR="00502860" w:rsidRPr="000B3FEC" w:rsidTr="00DE5CBB">
        <w:trPr>
          <w:trHeight w:val="255"/>
          <w:jc w:val="center"/>
        </w:trPr>
        <w:tc>
          <w:tcPr>
            <w:tcW w:w="6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502860" w:rsidRPr="000B3FEC" w:rsidRDefault="00502860" w:rsidP="00502860">
            <w:pPr>
              <w:rPr>
                <w:rFonts w:ascii="Arial" w:hAnsi="Arial" w:cs="Arial"/>
                <w:b/>
                <w:sz w:val="18"/>
                <w:szCs w:val="18"/>
                <w:lang w:eastAsia="en-GB"/>
              </w:rPr>
            </w:pPr>
            <w:r w:rsidRPr="000B3FEC">
              <w:rPr>
                <w:rFonts w:ascii="Arial" w:hAnsi="Arial" w:cs="Arial"/>
                <w:b/>
                <w:sz w:val="18"/>
                <w:szCs w:val="18"/>
                <w:lang w:eastAsia="en-GB"/>
              </w:rPr>
              <w:t xml:space="preserve">Leisure, Travel and Tourism Learner Aim Starts by </w:t>
            </w:r>
            <w:r>
              <w:rPr>
                <w:rFonts w:ascii="Arial" w:hAnsi="Arial" w:cs="Arial"/>
                <w:b/>
                <w:sz w:val="18"/>
                <w:szCs w:val="18"/>
                <w:lang w:eastAsia="en-GB"/>
              </w:rPr>
              <w:t xml:space="preserve">Age 2013/14: Comparisons with Lancashire LEP area profile </w:t>
            </w:r>
          </w:p>
        </w:tc>
      </w:tr>
      <w:tr w:rsidR="00502860"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8D4796" w:rsidRDefault="00502860" w:rsidP="00924146">
            <w:pPr>
              <w:rPr>
                <w:rFonts w:ascii="Arial" w:hAnsi="Arial" w:cs="Arial"/>
                <w:color w:val="000000"/>
                <w:sz w:val="18"/>
                <w:szCs w:val="18"/>
                <w:lang w:eastAsia="en-GB"/>
              </w:rPr>
            </w:pPr>
          </w:p>
        </w:tc>
        <w:tc>
          <w:tcPr>
            <w:tcW w:w="19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8D4796" w:rsidRDefault="00502860" w:rsidP="00502860">
            <w:pPr>
              <w:jc w:val="right"/>
              <w:rPr>
                <w:rFonts w:ascii="Arial" w:hAnsi="Arial" w:cs="Arial"/>
                <w:b/>
                <w:color w:val="000000"/>
                <w:sz w:val="18"/>
                <w:szCs w:val="18"/>
                <w:lang w:eastAsia="en-GB"/>
              </w:rPr>
            </w:pPr>
            <w:r w:rsidRPr="008D4796">
              <w:rPr>
                <w:rFonts w:ascii="Arial" w:hAnsi="Arial" w:cs="Arial"/>
                <w:b/>
                <w:color w:val="000000"/>
                <w:sz w:val="18"/>
                <w:szCs w:val="18"/>
                <w:lang w:eastAsia="en-GB"/>
              </w:rPr>
              <w:t>Leisure, Travel and Tourism</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8D4796" w:rsidRDefault="00502860" w:rsidP="00B5296C">
            <w:pPr>
              <w:jc w:val="right"/>
              <w:rPr>
                <w:rFonts w:ascii="Arial" w:hAnsi="Arial" w:cs="Arial"/>
                <w:b/>
                <w:color w:val="000000"/>
                <w:sz w:val="18"/>
                <w:szCs w:val="18"/>
                <w:lang w:eastAsia="en-GB"/>
              </w:rPr>
            </w:pPr>
            <w:r w:rsidRPr="008D4796">
              <w:rPr>
                <w:rFonts w:ascii="Arial" w:hAnsi="Arial" w:cs="Arial"/>
                <w:b/>
                <w:color w:val="000000"/>
                <w:sz w:val="18"/>
                <w:szCs w:val="18"/>
                <w:lang w:eastAsia="en-GB"/>
              </w:rPr>
              <w:t>Lancashire LEP Area</w:t>
            </w:r>
          </w:p>
        </w:tc>
      </w:tr>
      <w:tr w:rsidR="00B5296C"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rPr>
                <w:rFonts w:ascii="Arial" w:hAnsi="Arial" w:cs="Arial"/>
                <w:color w:val="000000"/>
                <w:sz w:val="18"/>
                <w:szCs w:val="18"/>
                <w:lang w:eastAsia="en-GB"/>
              </w:rPr>
            </w:pPr>
            <w:r w:rsidRPr="008D4796">
              <w:rPr>
                <w:rFonts w:ascii="Arial" w:hAnsi="Arial" w:cs="Arial"/>
                <w:color w:val="000000"/>
                <w:sz w:val="18"/>
                <w:szCs w:val="18"/>
                <w:lang w:eastAsia="en-GB"/>
              </w:rPr>
              <w:t>16-18</w:t>
            </w:r>
          </w:p>
        </w:tc>
        <w:tc>
          <w:tcPr>
            <w:tcW w:w="19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jc w:val="right"/>
              <w:rPr>
                <w:rFonts w:ascii="Arial" w:hAnsi="Arial" w:cs="Arial"/>
                <w:color w:val="000000"/>
                <w:sz w:val="18"/>
                <w:szCs w:val="18"/>
                <w:lang w:eastAsia="en-GB"/>
              </w:rPr>
            </w:pPr>
            <w:r w:rsidRPr="008D4796">
              <w:rPr>
                <w:rFonts w:ascii="Arial" w:hAnsi="Arial" w:cs="Arial"/>
                <w:color w:val="000000"/>
                <w:sz w:val="18"/>
                <w:szCs w:val="18"/>
                <w:lang w:eastAsia="en-GB"/>
              </w:rPr>
              <w:t>47%</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B5296C">
            <w:pPr>
              <w:jc w:val="right"/>
              <w:rPr>
                <w:rFonts w:ascii="Arial" w:hAnsi="Arial" w:cs="Arial"/>
                <w:color w:val="000000"/>
                <w:sz w:val="18"/>
                <w:szCs w:val="18"/>
                <w:lang w:eastAsia="en-GB"/>
              </w:rPr>
            </w:pPr>
            <w:r w:rsidRPr="008D4796">
              <w:rPr>
                <w:rFonts w:ascii="Arial" w:hAnsi="Arial" w:cs="Arial"/>
                <w:color w:val="000000"/>
                <w:sz w:val="18"/>
                <w:szCs w:val="18"/>
                <w:lang w:eastAsia="en-GB"/>
              </w:rPr>
              <w:t>35%</w:t>
            </w:r>
          </w:p>
        </w:tc>
      </w:tr>
      <w:tr w:rsidR="00B5296C"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rPr>
                <w:rFonts w:ascii="Arial" w:hAnsi="Arial" w:cs="Arial"/>
                <w:color w:val="000000"/>
                <w:sz w:val="18"/>
                <w:szCs w:val="18"/>
                <w:lang w:eastAsia="en-GB"/>
              </w:rPr>
            </w:pPr>
            <w:r w:rsidRPr="008D4796">
              <w:rPr>
                <w:rFonts w:ascii="Arial" w:hAnsi="Arial" w:cs="Arial"/>
                <w:color w:val="000000"/>
                <w:sz w:val="18"/>
                <w:szCs w:val="18"/>
                <w:lang w:eastAsia="en-GB"/>
              </w:rPr>
              <w:t>19-24</w:t>
            </w:r>
          </w:p>
        </w:tc>
        <w:tc>
          <w:tcPr>
            <w:tcW w:w="19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jc w:val="right"/>
              <w:rPr>
                <w:rFonts w:ascii="Arial" w:hAnsi="Arial" w:cs="Arial"/>
                <w:color w:val="000000"/>
                <w:sz w:val="18"/>
                <w:szCs w:val="18"/>
                <w:lang w:eastAsia="en-GB"/>
              </w:rPr>
            </w:pPr>
            <w:r w:rsidRPr="008D4796">
              <w:rPr>
                <w:rFonts w:ascii="Arial" w:hAnsi="Arial" w:cs="Arial"/>
                <w:color w:val="000000"/>
                <w:sz w:val="18"/>
                <w:szCs w:val="18"/>
                <w:lang w:eastAsia="en-GB"/>
              </w:rPr>
              <w:t>11%</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B5296C">
            <w:pPr>
              <w:jc w:val="right"/>
              <w:rPr>
                <w:rFonts w:ascii="Arial" w:hAnsi="Arial" w:cs="Arial"/>
                <w:color w:val="000000"/>
                <w:sz w:val="18"/>
                <w:szCs w:val="18"/>
                <w:lang w:eastAsia="en-GB"/>
              </w:rPr>
            </w:pPr>
            <w:r w:rsidRPr="008D4796">
              <w:rPr>
                <w:rFonts w:ascii="Arial" w:hAnsi="Arial" w:cs="Arial"/>
                <w:color w:val="000000"/>
                <w:sz w:val="18"/>
                <w:szCs w:val="18"/>
                <w:lang w:eastAsia="en-GB"/>
              </w:rPr>
              <w:t>16%</w:t>
            </w:r>
          </w:p>
        </w:tc>
      </w:tr>
      <w:tr w:rsidR="00B5296C"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rPr>
                <w:rFonts w:ascii="Arial" w:hAnsi="Arial" w:cs="Arial"/>
                <w:color w:val="000000"/>
                <w:sz w:val="18"/>
                <w:szCs w:val="18"/>
                <w:lang w:eastAsia="en-GB"/>
              </w:rPr>
            </w:pPr>
            <w:r w:rsidRPr="008D4796">
              <w:rPr>
                <w:rFonts w:ascii="Arial" w:hAnsi="Arial" w:cs="Arial"/>
                <w:color w:val="000000"/>
                <w:sz w:val="18"/>
                <w:szCs w:val="18"/>
                <w:lang w:eastAsia="en-GB"/>
              </w:rPr>
              <w:t>25+</w:t>
            </w:r>
          </w:p>
        </w:tc>
        <w:tc>
          <w:tcPr>
            <w:tcW w:w="19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jc w:val="right"/>
              <w:rPr>
                <w:rFonts w:ascii="Arial" w:hAnsi="Arial" w:cs="Arial"/>
                <w:color w:val="000000"/>
                <w:sz w:val="18"/>
                <w:szCs w:val="18"/>
                <w:lang w:eastAsia="en-GB"/>
              </w:rPr>
            </w:pPr>
            <w:r w:rsidRPr="008D4796">
              <w:rPr>
                <w:rFonts w:ascii="Arial" w:hAnsi="Arial" w:cs="Arial"/>
                <w:color w:val="000000"/>
                <w:sz w:val="18"/>
                <w:szCs w:val="18"/>
                <w:lang w:eastAsia="en-GB"/>
              </w:rPr>
              <w:t>42%</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B5296C">
            <w:pPr>
              <w:jc w:val="right"/>
              <w:rPr>
                <w:rFonts w:ascii="Arial" w:hAnsi="Arial" w:cs="Arial"/>
                <w:color w:val="000000"/>
                <w:sz w:val="18"/>
                <w:szCs w:val="18"/>
                <w:lang w:eastAsia="en-GB"/>
              </w:rPr>
            </w:pPr>
            <w:r w:rsidRPr="008D4796">
              <w:rPr>
                <w:rFonts w:ascii="Arial" w:hAnsi="Arial" w:cs="Arial"/>
                <w:color w:val="000000"/>
                <w:sz w:val="18"/>
                <w:szCs w:val="18"/>
                <w:lang w:eastAsia="en-GB"/>
              </w:rPr>
              <w:t>48%</w:t>
            </w:r>
          </w:p>
        </w:tc>
      </w:tr>
      <w:tr w:rsidR="00B5296C" w:rsidRPr="000B3FEC" w:rsidTr="00DE5CBB">
        <w:trPr>
          <w:trHeight w:val="255"/>
          <w:jc w:val="center"/>
        </w:trPr>
        <w:tc>
          <w:tcPr>
            <w:tcW w:w="2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rPr>
                <w:rFonts w:ascii="Arial" w:hAnsi="Arial" w:cs="Arial"/>
                <w:b/>
                <w:color w:val="000000"/>
                <w:sz w:val="18"/>
                <w:szCs w:val="18"/>
                <w:lang w:eastAsia="en-GB"/>
              </w:rPr>
            </w:pPr>
            <w:r w:rsidRPr="008D4796">
              <w:rPr>
                <w:rFonts w:ascii="Arial" w:hAnsi="Arial" w:cs="Arial"/>
                <w:b/>
                <w:color w:val="000000"/>
                <w:sz w:val="18"/>
                <w:szCs w:val="18"/>
                <w:lang w:eastAsia="en-GB"/>
              </w:rPr>
              <w:t>Totals</w:t>
            </w:r>
          </w:p>
        </w:tc>
        <w:tc>
          <w:tcPr>
            <w:tcW w:w="19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924146">
            <w:pPr>
              <w:jc w:val="right"/>
              <w:rPr>
                <w:rFonts w:ascii="Arial" w:hAnsi="Arial" w:cs="Arial"/>
                <w:b/>
                <w:color w:val="000000"/>
                <w:sz w:val="18"/>
                <w:szCs w:val="18"/>
                <w:lang w:eastAsia="en-GB"/>
              </w:rPr>
            </w:pPr>
            <w:r w:rsidRPr="008D4796">
              <w:rPr>
                <w:rFonts w:ascii="Arial" w:hAnsi="Arial" w:cs="Arial"/>
                <w:b/>
                <w:color w:val="000000"/>
                <w:sz w:val="18"/>
                <w:szCs w:val="18"/>
                <w:lang w:eastAsia="en-GB"/>
              </w:rPr>
              <w:t>100%</w:t>
            </w:r>
          </w:p>
        </w:tc>
        <w:tc>
          <w:tcPr>
            <w:tcW w:w="2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8D4796" w:rsidRDefault="00B5296C" w:rsidP="00B5296C">
            <w:pPr>
              <w:jc w:val="right"/>
              <w:rPr>
                <w:rFonts w:ascii="Arial" w:hAnsi="Arial" w:cs="Arial"/>
                <w:b/>
                <w:color w:val="000000"/>
                <w:sz w:val="18"/>
                <w:szCs w:val="18"/>
                <w:lang w:eastAsia="en-GB"/>
              </w:rPr>
            </w:pPr>
            <w:r w:rsidRPr="008D4796">
              <w:rPr>
                <w:rFonts w:ascii="Arial" w:hAnsi="Arial" w:cs="Arial"/>
                <w:b/>
                <w:color w:val="000000"/>
                <w:sz w:val="18"/>
                <w:szCs w:val="18"/>
                <w:lang w:eastAsia="en-GB"/>
              </w:rPr>
              <w:t>100%</w:t>
            </w:r>
          </w:p>
        </w:tc>
      </w:tr>
      <w:tr w:rsidR="00502860" w:rsidRPr="000B3FEC" w:rsidTr="00DE5CBB">
        <w:trPr>
          <w:trHeight w:val="255"/>
          <w:jc w:val="center"/>
        </w:trPr>
        <w:tc>
          <w:tcPr>
            <w:tcW w:w="6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8D4796" w:rsidRDefault="00502860" w:rsidP="00924146">
            <w:pPr>
              <w:rPr>
                <w:rFonts w:ascii="Arial" w:hAnsi="Arial" w:cs="Arial"/>
                <w:sz w:val="18"/>
                <w:szCs w:val="18"/>
                <w:lang w:eastAsia="en-GB"/>
              </w:rPr>
            </w:pPr>
            <w:r w:rsidRPr="008D4796">
              <w:rPr>
                <w:rFonts w:ascii="Arial" w:hAnsi="Arial" w:cs="Arial"/>
                <w:sz w:val="18"/>
                <w:szCs w:val="18"/>
                <w:lang w:eastAsia="en-GB"/>
              </w:rPr>
              <w:t>Source: Data Cube</w:t>
            </w:r>
          </w:p>
        </w:tc>
      </w:tr>
    </w:tbl>
    <w:p w:rsidR="00502860" w:rsidRPr="00502860" w:rsidRDefault="00502860" w:rsidP="00502860">
      <w:pPr>
        <w:pStyle w:val="ListParagraph"/>
        <w:ind w:left="1112" w:right="40"/>
        <w:jc w:val="both"/>
        <w:rPr>
          <w:rFonts w:ascii="Arial" w:hAnsi="Arial"/>
          <w:b/>
          <w:color w:val="660066"/>
          <w:sz w:val="10"/>
          <w:szCs w:val="10"/>
          <w:lang w:eastAsia="en-GB"/>
        </w:rPr>
      </w:pPr>
    </w:p>
    <w:p w:rsidR="000B3FEC" w:rsidRDefault="00502860"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lastRenderedPageBreak/>
        <w:t xml:space="preserve">The </w:t>
      </w:r>
      <w:r w:rsidR="00E52887">
        <w:rPr>
          <w:sz w:val="18"/>
          <w:szCs w:val="18"/>
        </w:rPr>
        <w:t>table</w:t>
      </w:r>
      <w:r>
        <w:rPr>
          <w:sz w:val="18"/>
          <w:szCs w:val="18"/>
        </w:rPr>
        <w:t xml:space="preserve"> below shows that 85% of </w:t>
      </w:r>
      <w:r w:rsidR="00E52887">
        <w:rPr>
          <w:sz w:val="18"/>
          <w:szCs w:val="18"/>
        </w:rPr>
        <w:t xml:space="preserve">education and training </w:t>
      </w:r>
      <w:r>
        <w:rPr>
          <w:sz w:val="18"/>
          <w:szCs w:val="18"/>
        </w:rPr>
        <w:t xml:space="preserve">learning aims started by learners </w:t>
      </w:r>
      <w:r w:rsidRPr="00FF6631">
        <w:rPr>
          <w:sz w:val="18"/>
          <w:szCs w:val="18"/>
        </w:rPr>
        <w:t>aged 16-18 were at Level 2 or above, compared with equivalent figures of 77% for those aged 19-24 and 19% for those aged 25+ (noting the high proportion of ‘not applicable’ records for this age group</w:t>
      </w:r>
      <w:r w:rsidR="007E1190" w:rsidRPr="00FF6631">
        <w:rPr>
          <w:sz w:val="18"/>
          <w:szCs w:val="18"/>
        </w:rPr>
        <w:t xml:space="preserve">). </w:t>
      </w:r>
      <w:r w:rsidRPr="00FF6631">
        <w:rPr>
          <w:sz w:val="18"/>
          <w:szCs w:val="18"/>
        </w:rPr>
        <w:t>Learners aged 16-18 are, by some margin, the most likely to pursue learning aims at</w:t>
      </w:r>
      <w:r>
        <w:rPr>
          <w:sz w:val="18"/>
          <w:szCs w:val="18"/>
        </w:rPr>
        <w:t xml:space="preserve"> Level 3.  </w:t>
      </w:r>
    </w:p>
    <w:tbl>
      <w:tblPr>
        <w:tblStyle w:val="TableGrid"/>
        <w:tblW w:w="0" w:type="auto"/>
        <w:tblLook w:val="04A0" w:firstRow="1" w:lastRow="0" w:firstColumn="1" w:lastColumn="0" w:noHBand="0" w:noVBand="1"/>
      </w:tblPr>
      <w:tblGrid>
        <w:gridCol w:w="2741"/>
        <w:gridCol w:w="1013"/>
        <w:gridCol w:w="1012"/>
        <w:gridCol w:w="1026"/>
        <w:gridCol w:w="1041"/>
      </w:tblGrid>
      <w:tr w:rsidR="00502860" w:rsidRPr="00502860" w:rsidTr="00DE5CBB">
        <w:trPr>
          <w:trHeight w:val="255"/>
        </w:trPr>
        <w:tc>
          <w:tcPr>
            <w:tcW w:w="683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vAlign w:val="center"/>
          </w:tcPr>
          <w:p w:rsidR="00502860" w:rsidRPr="0036124B" w:rsidRDefault="00502860" w:rsidP="00502860">
            <w:pPr>
              <w:rPr>
                <w:rFonts w:ascii="Arial" w:hAnsi="Arial" w:cs="Arial"/>
                <w:b/>
                <w:sz w:val="18"/>
                <w:szCs w:val="18"/>
                <w:lang w:eastAsia="en-GB"/>
              </w:rPr>
            </w:pPr>
            <w:r w:rsidRPr="0036124B">
              <w:rPr>
                <w:rFonts w:ascii="Arial" w:hAnsi="Arial" w:cs="Arial"/>
                <w:b/>
                <w:sz w:val="18"/>
                <w:szCs w:val="18"/>
                <w:lang w:eastAsia="en-GB"/>
              </w:rPr>
              <w:t>Leisure, Travel and Tourism Learner Aim Starts by age and level (%)</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2860" w:rsidRPr="0036124B" w:rsidRDefault="00502860" w:rsidP="00502860">
            <w:pPr>
              <w:jc w:val="center"/>
              <w:rPr>
                <w:rFonts w:ascii="Arial" w:hAnsi="Arial" w:cs="Arial"/>
                <w:b/>
                <w:sz w:val="18"/>
                <w:szCs w:val="18"/>
                <w:lang w:eastAsia="en-GB"/>
              </w:rPr>
            </w:pP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sz w:val="18"/>
                <w:szCs w:val="18"/>
                <w:lang w:eastAsia="en-GB"/>
              </w:rPr>
            </w:pPr>
            <w:r w:rsidRPr="0036124B">
              <w:rPr>
                <w:rFonts w:ascii="Arial" w:hAnsi="Arial" w:cs="Arial"/>
                <w:b/>
                <w:sz w:val="18"/>
                <w:szCs w:val="18"/>
                <w:lang w:eastAsia="en-GB"/>
              </w:rPr>
              <w:t>16-18</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sz w:val="18"/>
                <w:szCs w:val="18"/>
                <w:lang w:eastAsia="en-GB"/>
              </w:rPr>
            </w:pPr>
            <w:r w:rsidRPr="0036124B">
              <w:rPr>
                <w:rFonts w:ascii="Arial" w:hAnsi="Arial" w:cs="Arial"/>
                <w:b/>
                <w:sz w:val="18"/>
                <w:szCs w:val="18"/>
                <w:lang w:eastAsia="en-GB"/>
              </w:rPr>
              <w:t>19-24</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sz w:val="18"/>
                <w:szCs w:val="18"/>
                <w:lang w:eastAsia="en-GB"/>
              </w:rPr>
            </w:pPr>
            <w:r w:rsidRPr="0036124B">
              <w:rPr>
                <w:rFonts w:ascii="Arial" w:hAnsi="Arial" w:cs="Arial"/>
                <w:b/>
                <w:sz w:val="18"/>
                <w:szCs w:val="18"/>
                <w:lang w:eastAsia="en-GB"/>
              </w:rPr>
              <w:t>25+</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sz w:val="18"/>
                <w:szCs w:val="18"/>
                <w:lang w:eastAsia="en-GB"/>
              </w:rPr>
            </w:pPr>
            <w:r w:rsidRPr="0036124B">
              <w:rPr>
                <w:rFonts w:ascii="Arial" w:hAnsi="Arial" w:cs="Arial"/>
                <w:b/>
                <w:sz w:val="18"/>
                <w:szCs w:val="18"/>
                <w:lang w:eastAsia="en-GB"/>
              </w:rPr>
              <w:t>Total</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rPr>
                <w:rFonts w:ascii="Arial" w:hAnsi="Arial" w:cs="Arial"/>
                <w:color w:val="000000"/>
                <w:sz w:val="18"/>
                <w:szCs w:val="18"/>
                <w:lang w:eastAsia="en-GB"/>
              </w:rPr>
            </w:pPr>
            <w:r w:rsidRPr="0036124B">
              <w:rPr>
                <w:rFonts w:ascii="Arial" w:hAnsi="Arial" w:cs="Arial"/>
                <w:color w:val="000000"/>
                <w:sz w:val="18"/>
                <w:szCs w:val="18"/>
                <w:lang w:eastAsia="en-GB"/>
              </w:rPr>
              <w:t>Entry level</w:t>
            </w: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0%</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4%</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2%</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rPr>
                <w:rFonts w:ascii="Arial" w:hAnsi="Arial" w:cs="Arial"/>
                <w:color w:val="000000"/>
                <w:sz w:val="18"/>
                <w:szCs w:val="18"/>
                <w:lang w:eastAsia="en-GB"/>
              </w:rPr>
            </w:pPr>
            <w:r w:rsidRPr="0036124B">
              <w:rPr>
                <w:rFonts w:ascii="Arial" w:hAnsi="Arial" w:cs="Arial"/>
                <w:color w:val="000000"/>
                <w:sz w:val="18"/>
                <w:szCs w:val="18"/>
                <w:lang w:eastAsia="en-GB"/>
              </w:rPr>
              <w:t>Level 1</w:t>
            </w: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14%</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14%</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13%</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14%</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rPr>
                <w:rFonts w:ascii="Arial" w:hAnsi="Arial" w:cs="Arial"/>
                <w:color w:val="000000"/>
                <w:sz w:val="18"/>
                <w:szCs w:val="18"/>
                <w:lang w:eastAsia="en-GB"/>
              </w:rPr>
            </w:pPr>
            <w:r w:rsidRPr="0036124B">
              <w:rPr>
                <w:rFonts w:ascii="Arial" w:hAnsi="Arial" w:cs="Arial"/>
                <w:color w:val="000000"/>
                <w:sz w:val="18"/>
                <w:szCs w:val="18"/>
                <w:lang w:eastAsia="en-GB"/>
              </w:rPr>
              <w:t>Level 2</w:t>
            </w: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26%</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42%</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13%</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22%</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rPr>
                <w:rFonts w:ascii="Arial" w:hAnsi="Arial" w:cs="Arial"/>
                <w:color w:val="000000"/>
                <w:sz w:val="18"/>
                <w:szCs w:val="18"/>
                <w:lang w:eastAsia="en-GB"/>
              </w:rPr>
            </w:pPr>
            <w:r w:rsidRPr="0036124B">
              <w:rPr>
                <w:rFonts w:ascii="Arial" w:hAnsi="Arial" w:cs="Arial"/>
                <w:color w:val="000000"/>
                <w:sz w:val="18"/>
                <w:szCs w:val="18"/>
                <w:lang w:eastAsia="en-GB"/>
              </w:rPr>
              <w:t>Level 3</w:t>
            </w: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57%</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19%</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4%</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30%</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rPr>
                <w:rFonts w:ascii="Arial" w:hAnsi="Arial" w:cs="Arial"/>
                <w:color w:val="000000"/>
                <w:sz w:val="18"/>
                <w:szCs w:val="18"/>
                <w:lang w:eastAsia="en-GB"/>
              </w:rPr>
            </w:pPr>
            <w:r w:rsidRPr="0036124B">
              <w:rPr>
                <w:rFonts w:ascii="Arial" w:hAnsi="Arial" w:cs="Arial"/>
                <w:color w:val="000000"/>
                <w:sz w:val="18"/>
                <w:szCs w:val="18"/>
                <w:lang w:eastAsia="en-GB"/>
              </w:rPr>
              <w:t xml:space="preserve">Level 4  </w:t>
            </w: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2%</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16%</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2%</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3%</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rPr>
                <w:rFonts w:ascii="Arial" w:hAnsi="Arial" w:cs="Arial"/>
                <w:color w:val="000000"/>
                <w:sz w:val="18"/>
                <w:szCs w:val="18"/>
                <w:lang w:eastAsia="en-GB"/>
              </w:rPr>
            </w:pPr>
            <w:r w:rsidRPr="0036124B">
              <w:rPr>
                <w:rFonts w:ascii="Arial" w:hAnsi="Arial" w:cs="Arial"/>
                <w:color w:val="000000"/>
                <w:sz w:val="18"/>
                <w:szCs w:val="18"/>
                <w:lang w:eastAsia="en-GB"/>
              </w:rPr>
              <w:t>Not applicable</w:t>
            </w: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0%</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5%</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68%</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color w:val="000000"/>
                <w:sz w:val="18"/>
                <w:szCs w:val="18"/>
                <w:lang w:eastAsia="en-GB"/>
              </w:rPr>
            </w:pPr>
            <w:r w:rsidRPr="0036124B">
              <w:rPr>
                <w:rFonts w:ascii="Arial" w:hAnsi="Arial" w:cs="Arial"/>
                <w:color w:val="000000"/>
                <w:sz w:val="18"/>
                <w:szCs w:val="18"/>
                <w:lang w:eastAsia="en-GB"/>
              </w:rPr>
              <w:t>29%</w:t>
            </w:r>
          </w:p>
        </w:tc>
      </w:tr>
      <w:tr w:rsidR="00502860" w:rsidRPr="00502860" w:rsidTr="00DE5CBB">
        <w:trPr>
          <w:trHeight w:val="255"/>
        </w:trPr>
        <w:tc>
          <w:tcPr>
            <w:tcW w:w="2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rPr>
                <w:rFonts w:ascii="Arial" w:hAnsi="Arial" w:cs="Arial"/>
                <w:b/>
                <w:color w:val="000000"/>
                <w:sz w:val="18"/>
                <w:szCs w:val="18"/>
                <w:lang w:eastAsia="en-GB"/>
              </w:rPr>
            </w:pPr>
            <w:r w:rsidRPr="0036124B">
              <w:rPr>
                <w:rFonts w:ascii="Arial" w:hAnsi="Arial" w:cs="Arial"/>
                <w:b/>
                <w:color w:val="000000"/>
                <w:sz w:val="18"/>
                <w:szCs w:val="18"/>
                <w:lang w:eastAsia="en-GB"/>
              </w:rPr>
              <w:t>Total</w:t>
            </w:r>
          </w:p>
        </w:tc>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color w:val="000000"/>
                <w:sz w:val="18"/>
                <w:szCs w:val="18"/>
                <w:lang w:eastAsia="en-GB"/>
              </w:rPr>
            </w:pPr>
            <w:r w:rsidRPr="0036124B">
              <w:rPr>
                <w:rFonts w:ascii="Arial" w:hAnsi="Arial" w:cs="Arial"/>
                <w:b/>
                <w:color w:val="000000"/>
                <w:sz w:val="18"/>
                <w:szCs w:val="18"/>
                <w:lang w:eastAsia="en-GB"/>
              </w:rPr>
              <w:t>100%</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color w:val="000000"/>
                <w:sz w:val="18"/>
                <w:szCs w:val="18"/>
                <w:lang w:eastAsia="en-GB"/>
              </w:rPr>
            </w:pPr>
            <w:r w:rsidRPr="0036124B">
              <w:rPr>
                <w:rFonts w:ascii="Arial" w:hAnsi="Arial" w:cs="Arial"/>
                <w:b/>
                <w:color w:val="000000"/>
                <w:sz w:val="18"/>
                <w:szCs w:val="18"/>
                <w:lang w:eastAsia="en-GB"/>
              </w:rPr>
              <w:t>100%</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color w:val="000000"/>
                <w:sz w:val="18"/>
                <w:szCs w:val="18"/>
                <w:lang w:eastAsia="en-GB"/>
              </w:rPr>
            </w:pPr>
            <w:r w:rsidRPr="0036124B">
              <w:rPr>
                <w:rFonts w:ascii="Arial" w:hAnsi="Arial" w:cs="Arial"/>
                <w:b/>
                <w:color w:val="000000"/>
                <w:sz w:val="18"/>
                <w:szCs w:val="18"/>
                <w:lang w:eastAsia="en-GB"/>
              </w:rPr>
              <w:t>100%</w:t>
            </w:r>
          </w:p>
        </w:tc>
        <w:tc>
          <w:tcPr>
            <w:tcW w:w="10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502860" w:rsidP="00502860">
            <w:pPr>
              <w:jc w:val="right"/>
              <w:rPr>
                <w:rFonts w:ascii="Arial" w:hAnsi="Arial" w:cs="Arial"/>
                <w:b/>
                <w:color w:val="000000"/>
                <w:sz w:val="18"/>
                <w:szCs w:val="18"/>
                <w:lang w:eastAsia="en-GB"/>
              </w:rPr>
            </w:pPr>
            <w:r w:rsidRPr="0036124B">
              <w:rPr>
                <w:rFonts w:ascii="Arial" w:hAnsi="Arial" w:cs="Arial"/>
                <w:b/>
                <w:color w:val="000000"/>
                <w:sz w:val="18"/>
                <w:szCs w:val="18"/>
                <w:lang w:eastAsia="en-GB"/>
              </w:rPr>
              <w:t>100%</w:t>
            </w:r>
          </w:p>
        </w:tc>
      </w:tr>
      <w:tr w:rsidR="00502860" w:rsidRPr="00502860" w:rsidTr="00DE5CBB">
        <w:trPr>
          <w:trHeight w:val="255"/>
        </w:trPr>
        <w:tc>
          <w:tcPr>
            <w:tcW w:w="683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2860" w:rsidRPr="0036124B" w:rsidRDefault="007E1190" w:rsidP="00502860">
            <w:pPr>
              <w:rPr>
                <w:rFonts w:ascii="Arial" w:hAnsi="Arial" w:cs="Arial"/>
                <w:sz w:val="18"/>
                <w:szCs w:val="18"/>
                <w:lang w:eastAsia="en-GB"/>
              </w:rPr>
            </w:pPr>
            <w:r>
              <w:rPr>
                <w:rFonts w:ascii="Arial" w:hAnsi="Arial" w:cs="Arial"/>
                <w:sz w:val="18"/>
                <w:szCs w:val="18"/>
                <w:lang w:eastAsia="en-GB"/>
              </w:rPr>
              <w:t>Source: Data C</w:t>
            </w:r>
            <w:r w:rsidR="00502860" w:rsidRPr="0036124B">
              <w:rPr>
                <w:rFonts w:ascii="Arial" w:hAnsi="Arial" w:cs="Arial"/>
                <w:sz w:val="18"/>
                <w:szCs w:val="18"/>
                <w:lang w:eastAsia="en-GB"/>
              </w:rPr>
              <w:t>ube</w:t>
            </w:r>
          </w:p>
        </w:tc>
      </w:tr>
    </w:tbl>
    <w:p w:rsidR="00B5296C" w:rsidRPr="00E52887" w:rsidRDefault="00B5296C" w:rsidP="00B5296C">
      <w:pPr>
        <w:tabs>
          <w:tab w:val="num" w:pos="860"/>
          <w:tab w:val="num" w:pos="1105"/>
        </w:tabs>
        <w:spacing w:before="240" w:after="120" w:line="288" w:lineRule="auto"/>
        <w:jc w:val="both"/>
        <w:rPr>
          <w:rFonts w:ascii="Arial" w:hAnsi="Arial" w:cs="Arial"/>
          <w:b/>
          <w:i/>
          <w:color w:val="660066"/>
          <w:sz w:val="20"/>
          <w:szCs w:val="20"/>
        </w:rPr>
      </w:pPr>
      <w:bookmarkStart w:id="104" w:name="_Toc419469477"/>
      <w:r w:rsidRPr="00E52887">
        <w:rPr>
          <w:rFonts w:ascii="Arial" w:hAnsi="Arial" w:cs="Arial"/>
          <w:b/>
          <w:i/>
          <w:color w:val="660066"/>
          <w:sz w:val="20"/>
          <w:szCs w:val="20"/>
        </w:rPr>
        <w:t xml:space="preserve">Starts by provider  </w:t>
      </w:r>
    </w:p>
    <w:p w:rsidR="00C431E7" w:rsidRDefault="00C431E7" w:rsidP="00B5296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Lancashire County Council delivered at least twice the number of education and training learning aim starts in leisure, travel and tourism as any other provider in 2013/14. </w:t>
      </w:r>
      <w:r w:rsidR="00AA44E9">
        <w:rPr>
          <w:sz w:val="18"/>
          <w:szCs w:val="18"/>
        </w:rPr>
        <w:t>Note, however, that the Lancashire County Council figure includes 1,700 community learning starts (92% of the Council’s total</w:t>
      </w:r>
      <w:r w:rsidR="00E52887">
        <w:rPr>
          <w:sz w:val="18"/>
          <w:szCs w:val="18"/>
        </w:rPr>
        <w:t xml:space="preserve"> starts</w:t>
      </w:r>
      <w:r w:rsidR="00AA44E9">
        <w:rPr>
          <w:sz w:val="18"/>
          <w:szCs w:val="18"/>
        </w:rPr>
        <w:t xml:space="preserve">).  Blackpool and the Fylde College is the only other provider accounting for more than 10% of education and training starts.   </w:t>
      </w:r>
    </w:p>
    <w:p w:rsidR="00116AC6" w:rsidRDefault="00116AC6" w:rsidP="00116AC6">
      <w:pPr>
        <w:pStyle w:val="normalnumbered"/>
        <w:tabs>
          <w:tab w:val="clear" w:pos="2666"/>
        </w:tabs>
        <w:spacing w:line="264" w:lineRule="auto"/>
        <w:ind w:left="0" w:right="40" w:firstLine="0"/>
        <w:rPr>
          <w:sz w:val="18"/>
          <w:szCs w:val="18"/>
        </w:rPr>
      </w:pPr>
    </w:p>
    <w:p w:rsidR="00116AC6" w:rsidRDefault="00116AC6" w:rsidP="00116AC6">
      <w:pPr>
        <w:pStyle w:val="normalnumbered"/>
        <w:tabs>
          <w:tab w:val="clear" w:pos="2666"/>
        </w:tabs>
        <w:spacing w:line="264" w:lineRule="auto"/>
        <w:ind w:left="0" w:right="40" w:firstLine="0"/>
        <w:rPr>
          <w:sz w:val="18"/>
          <w:szCs w:val="18"/>
        </w:rPr>
      </w:pPr>
    </w:p>
    <w:p w:rsidR="00116AC6" w:rsidRDefault="00116AC6" w:rsidP="00116AC6">
      <w:pPr>
        <w:pStyle w:val="normalnumbered"/>
        <w:tabs>
          <w:tab w:val="clear" w:pos="2666"/>
        </w:tabs>
        <w:spacing w:line="264" w:lineRule="auto"/>
        <w:ind w:left="0" w:right="40" w:firstLine="0"/>
        <w:rPr>
          <w:sz w:val="18"/>
          <w:szCs w:val="18"/>
        </w:rPr>
      </w:pPr>
    </w:p>
    <w:p w:rsidR="00116AC6" w:rsidRDefault="00116AC6" w:rsidP="00116AC6">
      <w:pPr>
        <w:pStyle w:val="normalnumbered"/>
        <w:tabs>
          <w:tab w:val="clear" w:pos="2666"/>
        </w:tabs>
        <w:spacing w:line="264" w:lineRule="auto"/>
        <w:ind w:left="0" w:right="40" w:firstLine="0"/>
        <w:rPr>
          <w:sz w:val="18"/>
          <w:szCs w:val="18"/>
        </w:rPr>
      </w:pPr>
    </w:p>
    <w:p w:rsidR="00116AC6" w:rsidRDefault="00116AC6" w:rsidP="00116AC6">
      <w:pPr>
        <w:pStyle w:val="normalnumbered"/>
        <w:tabs>
          <w:tab w:val="clear" w:pos="2666"/>
        </w:tabs>
        <w:spacing w:line="264" w:lineRule="auto"/>
        <w:ind w:left="0" w:right="40" w:firstLine="0"/>
        <w:rPr>
          <w:sz w:val="18"/>
          <w:szCs w:val="18"/>
        </w:rPr>
      </w:pPr>
    </w:p>
    <w:tbl>
      <w:tblPr>
        <w:tblStyle w:val="TableGrid"/>
        <w:tblW w:w="6345" w:type="dxa"/>
        <w:jc w:val="center"/>
        <w:tblLook w:val="04A0" w:firstRow="1" w:lastRow="0" w:firstColumn="1" w:lastColumn="0" w:noHBand="0" w:noVBand="1"/>
      </w:tblPr>
      <w:tblGrid>
        <w:gridCol w:w="3710"/>
        <w:gridCol w:w="1360"/>
        <w:gridCol w:w="1275"/>
      </w:tblGrid>
      <w:tr w:rsidR="00C431E7" w:rsidRPr="002B184F" w:rsidTr="00DE5CBB">
        <w:trPr>
          <w:trHeight w:val="255"/>
          <w:jc w:val="center"/>
        </w:trPr>
        <w:tc>
          <w:tcPr>
            <w:tcW w:w="6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C431E7" w:rsidRPr="00C431E7" w:rsidRDefault="00C431E7" w:rsidP="00C431E7">
            <w:pPr>
              <w:rPr>
                <w:rFonts w:ascii="Arial" w:hAnsi="Arial" w:cs="Arial"/>
                <w:b/>
                <w:sz w:val="18"/>
                <w:szCs w:val="18"/>
              </w:rPr>
            </w:pPr>
            <w:r w:rsidRPr="00C431E7">
              <w:rPr>
                <w:rFonts w:ascii="Arial" w:hAnsi="Arial" w:cs="Arial"/>
                <w:b/>
                <w:sz w:val="18"/>
                <w:szCs w:val="18"/>
              </w:rPr>
              <w:lastRenderedPageBreak/>
              <w:t>Leisure, Travel and Tourism Education and Training Starts by Provider 2013/14: Top 10 Providers</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color w:val="000000"/>
                <w:sz w:val="18"/>
                <w:szCs w:val="18"/>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b/>
                <w:color w:val="000000"/>
                <w:sz w:val="18"/>
                <w:szCs w:val="18"/>
              </w:rPr>
            </w:pPr>
            <w:r w:rsidRPr="008B0FFB">
              <w:rPr>
                <w:rFonts w:ascii="Arial" w:hAnsi="Arial" w:cs="Arial"/>
                <w:b/>
                <w:color w:val="000000"/>
                <w:sz w:val="18"/>
                <w:szCs w:val="18"/>
              </w:rPr>
              <w:t>No.</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b/>
                <w:color w:val="000000"/>
                <w:sz w:val="18"/>
                <w:szCs w:val="18"/>
              </w:rPr>
            </w:pPr>
            <w:r w:rsidRPr="008B0FFB">
              <w:rPr>
                <w:rFonts w:ascii="Arial" w:hAnsi="Arial" w:cs="Arial"/>
                <w:b/>
                <w:color w:val="000000"/>
                <w:sz w:val="18"/>
                <w:szCs w:val="18"/>
              </w:rPr>
              <w:t>% of total starts</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Lancashire County Council</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1,850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22%</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Pr>
                <w:rFonts w:ascii="Arial" w:hAnsi="Arial" w:cs="Arial"/>
                <w:bCs/>
                <w:color w:val="000000"/>
                <w:sz w:val="18"/>
                <w:szCs w:val="18"/>
              </w:rPr>
              <w:t>Blackpool and t</w:t>
            </w:r>
            <w:r w:rsidRPr="008B0FFB">
              <w:rPr>
                <w:rFonts w:ascii="Arial" w:hAnsi="Arial" w:cs="Arial"/>
                <w:bCs/>
                <w:color w:val="000000"/>
                <w:sz w:val="18"/>
                <w:szCs w:val="18"/>
              </w:rPr>
              <w:t>he Fylde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940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11%</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Blackburn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bCs/>
                <w:color w:val="000000"/>
                <w:sz w:val="18"/>
                <w:szCs w:val="18"/>
              </w:rPr>
            </w:pPr>
            <w:r w:rsidRPr="008B0FFB">
              <w:rPr>
                <w:rFonts w:ascii="Arial" w:hAnsi="Arial" w:cs="Arial"/>
                <w:bCs/>
                <w:color w:val="000000"/>
                <w:sz w:val="18"/>
                <w:szCs w:val="18"/>
              </w:rPr>
              <w:t>710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8%</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Pr>
                <w:rFonts w:ascii="Arial" w:hAnsi="Arial" w:cs="Arial"/>
                <w:bCs/>
                <w:color w:val="000000"/>
                <w:sz w:val="18"/>
                <w:szCs w:val="18"/>
              </w:rPr>
              <w:t>Accrington a</w:t>
            </w:r>
            <w:r w:rsidRPr="008B0FFB">
              <w:rPr>
                <w:rFonts w:ascii="Arial" w:hAnsi="Arial" w:cs="Arial"/>
                <w:bCs/>
                <w:color w:val="000000"/>
                <w:sz w:val="18"/>
                <w:szCs w:val="18"/>
              </w:rPr>
              <w:t>nd Rossendale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560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7%</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The Blackpool Sixth Form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530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6%</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Preston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520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6%</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Runshaw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400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5%</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Burnley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390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5%</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Myerscough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290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3%</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Cs/>
                <w:color w:val="000000"/>
                <w:sz w:val="18"/>
                <w:szCs w:val="18"/>
              </w:rPr>
            </w:pPr>
            <w:r w:rsidRPr="008B0FFB">
              <w:rPr>
                <w:rFonts w:ascii="Arial" w:hAnsi="Arial" w:cs="Arial"/>
                <w:bCs/>
                <w:color w:val="000000"/>
                <w:sz w:val="18"/>
                <w:szCs w:val="18"/>
              </w:rPr>
              <w:t>N</w:t>
            </w:r>
            <w:r>
              <w:rPr>
                <w:rFonts w:ascii="Arial" w:hAnsi="Arial" w:cs="Arial"/>
                <w:bCs/>
                <w:color w:val="000000"/>
                <w:sz w:val="18"/>
                <w:szCs w:val="18"/>
              </w:rPr>
              <w:t>ewcastle College Group</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270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color w:val="000000"/>
                <w:sz w:val="18"/>
                <w:szCs w:val="18"/>
              </w:rPr>
            </w:pPr>
            <w:r w:rsidRPr="008B0FFB">
              <w:rPr>
                <w:rFonts w:ascii="Arial" w:hAnsi="Arial" w:cs="Arial"/>
                <w:color w:val="000000"/>
                <w:sz w:val="18"/>
                <w:szCs w:val="18"/>
              </w:rPr>
              <w:t>3%</w:t>
            </w:r>
          </w:p>
        </w:tc>
      </w:tr>
      <w:tr w:rsidR="00C431E7" w:rsidRPr="002B184F"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b/>
                <w:color w:val="000000"/>
                <w:sz w:val="18"/>
                <w:szCs w:val="18"/>
              </w:rPr>
            </w:pPr>
            <w:r w:rsidRPr="008B0FFB">
              <w:rPr>
                <w:rFonts w:ascii="Arial" w:hAnsi="Arial" w:cs="Arial"/>
                <w:b/>
                <w:color w:val="000000"/>
                <w:sz w:val="18"/>
                <w:szCs w:val="18"/>
              </w:rPr>
              <w:t>Total FE Starts</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b/>
                <w:color w:val="000000"/>
                <w:sz w:val="18"/>
                <w:szCs w:val="18"/>
              </w:rPr>
            </w:pPr>
            <w:r w:rsidRPr="008B0FFB">
              <w:rPr>
                <w:rFonts w:ascii="Arial" w:hAnsi="Arial" w:cs="Arial"/>
                <w:b/>
                <w:color w:val="000000"/>
                <w:sz w:val="18"/>
                <w:szCs w:val="18"/>
              </w:rPr>
              <w:t>8,530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AA44E9">
            <w:pPr>
              <w:jc w:val="right"/>
              <w:rPr>
                <w:rFonts w:ascii="Arial" w:hAnsi="Arial" w:cs="Arial"/>
                <w:b/>
                <w:color w:val="000000"/>
                <w:sz w:val="18"/>
                <w:szCs w:val="18"/>
              </w:rPr>
            </w:pPr>
            <w:r w:rsidRPr="008B0FFB">
              <w:rPr>
                <w:rFonts w:ascii="Arial" w:hAnsi="Arial" w:cs="Arial"/>
                <w:b/>
                <w:color w:val="000000"/>
                <w:sz w:val="18"/>
                <w:szCs w:val="18"/>
              </w:rPr>
              <w:t>100%</w:t>
            </w:r>
          </w:p>
        </w:tc>
      </w:tr>
      <w:tr w:rsidR="00C431E7" w:rsidRPr="002B184F" w:rsidTr="00DE5CBB">
        <w:trPr>
          <w:trHeight w:val="242"/>
          <w:jc w:val="center"/>
        </w:trPr>
        <w:tc>
          <w:tcPr>
            <w:tcW w:w="6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31E7" w:rsidRPr="008B0FFB" w:rsidRDefault="00C431E7" w:rsidP="00C431E7">
            <w:pPr>
              <w:rPr>
                <w:rFonts w:ascii="Arial" w:hAnsi="Arial" w:cs="Arial"/>
                <w:sz w:val="18"/>
                <w:szCs w:val="18"/>
              </w:rPr>
            </w:pPr>
            <w:r w:rsidRPr="008B0FFB">
              <w:rPr>
                <w:rFonts w:ascii="Arial" w:hAnsi="Arial" w:cs="Arial"/>
                <w:sz w:val="18"/>
                <w:szCs w:val="18"/>
              </w:rPr>
              <w:t>Source: Data Cube</w:t>
            </w:r>
          </w:p>
        </w:tc>
      </w:tr>
    </w:tbl>
    <w:p w:rsidR="00C431E7" w:rsidRPr="00C431E7" w:rsidRDefault="00C431E7" w:rsidP="00C431E7">
      <w:pPr>
        <w:pStyle w:val="normalnumbered"/>
        <w:tabs>
          <w:tab w:val="clear" w:pos="2666"/>
        </w:tabs>
        <w:spacing w:line="264" w:lineRule="auto"/>
        <w:ind w:left="0" w:right="40" w:firstLine="0"/>
        <w:jc w:val="left"/>
        <w:rPr>
          <w:rFonts w:cs="Arial"/>
          <w:b/>
          <w:color w:val="660066"/>
          <w:sz w:val="2"/>
          <w:szCs w:val="2"/>
        </w:rPr>
      </w:pPr>
    </w:p>
    <w:p w:rsidR="000B3FEC" w:rsidRPr="00E52887" w:rsidRDefault="000B3FEC" w:rsidP="00502860">
      <w:pPr>
        <w:pStyle w:val="normalnumbered"/>
        <w:tabs>
          <w:tab w:val="clear" w:pos="2666"/>
        </w:tabs>
        <w:spacing w:line="264" w:lineRule="auto"/>
        <w:ind w:left="0" w:right="40" w:firstLine="0"/>
        <w:rPr>
          <w:rFonts w:cs="Arial"/>
          <w:b/>
          <w:i/>
          <w:color w:val="660066"/>
          <w:szCs w:val="20"/>
        </w:rPr>
      </w:pPr>
      <w:r w:rsidRPr="00E52887">
        <w:rPr>
          <w:rFonts w:cs="Arial"/>
          <w:b/>
          <w:i/>
          <w:color w:val="660066"/>
          <w:szCs w:val="20"/>
        </w:rPr>
        <w:t xml:space="preserve">Achievements and Success Rates  </w:t>
      </w:r>
    </w:p>
    <w:p w:rsidR="00B5296C" w:rsidRDefault="00B5296C" w:rsidP="000B3FEC">
      <w:pPr>
        <w:pStyle w:val="normalnumbered"/>
        <w:numPr>
          <w:ilvl w:val="1"/>
          <w:numId w:val="1"/>
        </w:numPr>
        <w:tabs>
          <w:tab w:val="clear" w:pos="2666"/>
          <w:tab w:val="num" w:pos="709"/>
        </w:tabs>
        <w:spacing w:line="264" w:lineRule="auto"/>
        <w:ind w:left="0" w:right="40" w:firstLine="0"/>
        <w:rPr>
          <w:sz w:val="18"/>
          <w:szCs w:val="18"/>
        </w:rPr>
      </w:pPr>
      <w:r>
        <w:rPr>
          <w:sz w:val="18"/>
          <w:szCs w:val="18"/>
        </w:rPr>
        <w:t>Achievements in this context tell us the number of achieved learning aims within a given period.  There were 9,280 learning aim achievements in Leisure, Travel and Tourism in Lancashire in 2012/13 and 7,180 in 2014 – a reduction of 23% (a</w:t>
      </w:r>
      <w:r w:rsidR="00DE5CBB">
        <w:rPr>
          <w:sz w:val="18"/>
          <w:szCs w:val="18"/>
        </w:rPr>
        <w:t xml:space="preserve"> broadly </w:t>
      </w:r>
      <w:r>
        <w:rPr>
          <w:sz w:val="18"/>
          <w:szCs w:val="18"/>
        </w:rPr>
        <w:t xml:space="preserve">equivalent reduction as </w:t>
      </w:r>
      <w:r w:rsidR="008D4796">
        <w:rPr>
          <w:sz w:val="18"/>
          <w:szCs w:val="18"/>
        </w:rPr>
        <w:t xml:space="preserve">was </w:t>
      </w:r>
      <w:r w:rsidR="00E52887">
        <w:rPr>
          <w:sz w:val="18"/>
          <w:szCs w:val="18"/>
        </w:rPr>
        <w:t>observed i</w:t>
      </w:r>
      <w:r>
        <w:rPr>
          <w:sz w:val="18"/>
          <w:szCs w:val="18"/>
        </w:rPr>
        <w:t xml:space="preserve">n starts).  </w:t>
      </w:r>
    </w:p>
    <w:p w:rsidR="003A0984" w:rsidRDefault="00B5296C" w:rsidP="008D4796">
      <w:pPr>
        <w:pStyle w:val="normalnumbered"/>
        <w:numPr>
          <w:ilvl w:val="1"/>
          <w:numId w:val="1"/>
        </w:numPr>
        <w:tabs>
          <w:tab w:val="clear" w:pos="2666"/>
          <w:tab w:val="num" w:pos="709"/>
        </w:tabs>
        <w:spacing w:line="264" w:lineRule="auto"/>
        <w:ind w:left="0" w:right="40" w:firstLine="0"/>
        <w:rPr>
          <w:sz w:val="18"/>
          <w:szCs w:val="18"/>
        </w:rPr>
      </w:pPr>
      <w:r w:rsidRPr="008D4796">
        <w:rPr>
          <w:sz w:val="18"/>
          <w:szCs w:val="18"/>
        </w:rPr>
        <w:t xml:space="preserve">More insight is gained by looking not at absolute numbers of achievements, but at success rates (the </w:t>
      </w:r>
      <w:r w:rsidRPr="008D4796">
        <w:rPr>
          <w:rFonts w:cs="Arial"/>
          <w:color w:val="000000"/>
          <w:sz w:val="18"/>
          <w:szCs w:val="18"/>
          <w:lang w:val="en-US"/>
        </w:rPr>
        <w:t>number of achieved learning aims with a</w:t>
      </w:r>
      <w:r w:rsidR="008D4796">
        <w:rPr>
          <w:rFonts w:cs="Arial"/>
          <w:color w:val="000000"/>
          <w:sz w:val="18"/>
          <w:szCs w:val="18"/>
          <w:lang w:val="en-US"/>
        </w:rPr>
        <w:t xml:space="preserve">n </w:t>
      </w:r>
      <w:r w:rsidRPr="008D4796">
        <w:rPr>
          <w:rFonts w:cs="Arial"/>
          <w:color w:val="000000"/>
          <w:sz w:val="18"/>
          <w:szCs w:val="18"/>
          <w:lang w:val="en-US"/>
        </w:rPr>
        <w:t xml:space="preserve">end date in a given period expressed as a percentage of starts with a planned end date in that period). </w:t>
      </w:r>
      <w:r w:rsidRPr="008D4796">
        <w:rPr>
          <w:sz w:val="18"/>
          <w:szCs w:val="18"/>
        </w:rPr>
        <w:t xml:space="preserve"> The table </w:t>
      </w:r>
      <w:r w:rsidR="00DE5CBB">
        <w:rPr>
          <w:sz w:val="18"/>
          <w:szCs w:val="18"/>
        </w:rPr>
        <w:t>on the following page</w:t>
      </w:r>
      <w:r w:rsidRPr="008D4796">
        <w:rPr>
          <w:sz w:val="18"/>
          <w:szCs w:val="18"/>
        </w:rPr>
        <w:t xml:space="preserve"> therefore shows the success rates in Leisure, Travel and Tourism of the 10 providers with the highest number of achievements in that subject area</w:t>
      </w:r>
      <w:r w:rsidR="008D4796">
        <w:rPr>
          <w:rStyle w:val="FootnoteReference"/>
          <w:sz w:val="18"/>
          <w:szCs w:val="18"/>
        </w:rPr>
        <w:footnoteReference w:id="50"/>
      </w:r>
      <w:r w:rsidRPr="008D4796">
        <w:rPr>
          <w:sz w:val="18"/>
          <w:szCs w:val="18"/>
        </w:rPr>
        <w:t xml:space="preserve">.  </w:t>
      </w:r>
      <w:r w:rsidR="00AA44E9">
        <w:rPr>
          <w:sz w:val="18"/>
          <w:szCs w:val="18"/>
        </w:rPr>
        <w:t xml:space="preserve">  </w:t>
      </w:r>
    </w:p>
    <w:p w:rsidR="00C431E7" w:rsidRDefault="00C431E7" w:rsidP="00C431E7">
      <w:pPr>
        <w:pStyle w:val="normalnumbered"/>
        <w:tabs>
          <w:tab w:val="clear" w:pos="2666"/>
        </w:tabs>
        <w:spacing w:line="264" w:lineRule="auto"/>
        <w:ind w:left="0" w:right="40" w:firstLine="0"/>
        <w:rPr>
          <w:sz w:val="18"/>
          <w:szCs w:val="18"/>
        </w:rPr>
      </w:pPr>
    </w:p>
    <w:tbl>
      <w:tblPr>
        <w:tblStyle w:val="TableGrid"/>
        <w:tblW w:w="6127" w:type="dxa"/>
        <w:jc w:val="center"/>
        <w:tblLook w:val="04A0" w:firstRow="1" w:lastRow="0" w:firstColumn="1" w:lastColumn="0" w:noHBand="0" w:noVBand="1"/>
      </w:tblPr>
      <w:tblGrid>
        <w:gridCol w:w="4200"/>
        <w:gridCol w:w="1927"/>
      </w:tblGrid>
      <w:tr w:rsidR="00B5296C" w:rsidRPr="002B184F" w:rsidTr="00DE5CBB">
        <w:trPr>
          <w:trHeight w:val="25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B5296C" w:rsidRPr="0036124B" w:rsidRDefault="00B5296C" w:rsidP="00924146">
            <w:pPr>
              <w:rPr>
                <w:rFonts w:ascii="Arial" w:hAnsi="Arial" w:cs="Arial"/>
                <w:b/>
                <w:sz w:val="18"/>
                <w:szCs w:val="18"/>
              </w:rPr>
            </w:pPr>
            <w:r w:rsidRPr="0036124B">
              <w:rPr>
                <w:rFonts w:ascii="Arial" w:hAnsi="Arial" w:cs="Arial"/>
                <w:b/>
                <w:sz w:val="18"/>
                <w:szCs w:val="18"/>
              </w:rPr>
              <w:lastRenderedPageBreak/>
              <w:t xml:space="preserve">Leisure, Travel and Tourism </w:t>
            </w:r>
            <w:r w:rsidR="0036124B">
              <w:rPr>
                <w:rFonts w:ascii="Arial" w:hAnsi="Arial" w:cs="Arial"/>
                <w:b/>
                <w:sz w:val="18"/>
                <w:szCs w:val="18"/>
              </w:rPr>
              <w:t xml:space="preserve">Education and Training </w:t>
            </w:r>
            <w:r w:rsidRPr="0036124B">
              <w:rPr>
                <w:rFonts w:ascii="Arial" w:hAnsi="Arial" w:cs="Arial"/>
                <w:b/>
                <w:sz w:val="18"/>
                <w:szCs w:val="18"/>
              </w:rPr>
              <w:t>Success Rates by Provider 2013/14</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36124B" w:rsidRDefault="00B5296C" w:rsidP="00924146">
            <w:pPr>
              <w:rPr>
                <w:rFonts w:ascii="Arial" w:hAnsi="Arial" w:cs="Arial"/>
                <w:color w:val="000000"/>
                <w:sz w:val="18"/>
                <w:szCs w:val="18"/>
              </w:rPr>
            </w:pP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36124B" w:rsidRDefault="00B5296C" w:rsidP="00B5296C">
            <w:pPr>
              <w:jc w:val="right"/>
              <w:rPr>
                <w:rFonts w:ascii="Arial" w:hAnsi="Arial" w:cs="Arial"/>
                <w:b/>
                <w:color w:val="000000"/>
                <w:sz w:val="18"/>
                <w:szCs w:val="18"/>
              </w:rPr>
            </w:pPr>
            <w:r w:rsidRPr="0036124B">
              <w:rPr>
                <w:rFonts w:ascii="Arial" w:hAnsi="Arial" w:cs="Arial"/>
                <w:b/>
                <w:color w:val="000000"/>
                <w:sz w:val="18"/>
                <w:szCs w:val="18"/>
              </w:rPr>
              <w:t>Success Rate (%)</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Blackburn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96.2%</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Burnley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92.1%</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Lancaster and Morecambe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92.1%</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Preston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92.1%</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Myerscough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90.2%</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Runshaw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89.6%</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The Blackpool Sixth Form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89.5%</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Blackpool and The Fylde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88.2%</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B5296C" w:rsidRPr="0036124B" w:rsidRDefault="00B5296C" w:rsidP="00924146">
            <w:pPr>
              <w:rPr>
                <w:rFonts w:ascii="Arial" w:hAnsi="Arial" w:cs="Arial"/>
                <w:color w:val="000000"/>
                <w:sz w:val="18"/>
                <w:szCs w:val="18"/>
              </w:rPr>
            </w:pPr>
            <w:r w:rsidRPr="0036124B">
              <w:rPr>
                <w:rFonts w:ascii="Arial" w:hAnsi="Arial" w:cs="Arial"/>
                <w:color w:val="000000"/>
                <w:sz w:val="18"/>
                <w:szCs w:val="18"/>
              </w:rPr>
              <w:t>Accrington and Rossendale College</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87.8%</w:t>
            </w:r>
          </w:p>
        </w:tc>
      </w:tr>
      <w:tr w:rsidR="00B5296C" w:rsidRPr="002B184F" w:rsidTr="00DE5CBB">
        <w:trPr>
          <w:trHeight w:val="255"/>
          <w:jc w:val="center"/>
        </w:trPr>
        <w:tc>
          <w:tcPr>
            <w:tcW w:w="4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B5296C" w:rsidRPr="0036124B" w:rsidRDefault="00B5296C" w:rsidP="00B5296C">
            <w:pPr>
              <w:rPr>
                <w:rFonts w:ascii="Arial" w:hAnsi="Arial" w:cs="Arial"/>
                <w:color w:val="000000"/>
                <w:sz w:val="18"/>
                <w:szCs w:val="18"/>
              </w:rPr>
            </w:pPr>
            <w:r w:rsidRPr="0036124B">
              <w:rPr>
                <w:rFonts w:ascii="Arial" w:hAnsi="Arial" w:cs="Arial"/>
                <w:color w:val="000000"/>
                <w:sz w:val="18"/>
                <w:szCs w:val="18"/>
              </w:rPr>
              <w:t xml:space="preserve">Newcastle College Group </w:t>
            </w:r>
          </w:p>
        </w:tc>
        <w:tc>
          <w:tcPr>
            <w:tcW w:w="1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B5296C" w:rsidRPr="0036124B" w:rsidRDefault="00B5296C" w:rsidP="00924146">
            <w:pPr>
              <w:jc w:val="right"/>
              <w:rPr>
                <w:rFonts w:ascii="Arial" w:hAnsi="Arial" w:cs="Arial"/>
                <w:sz w:val="18"/>
                <w:szCs w:val="18"/>
              </w:rPr>
            </w:pPr>
            <w:r w:rsidRPr="0036124B">
              <w:rPr>
                <w:rFonts w:ascii="Arial" w:hAnsi="Arial" w:cs="Arial"/>
                <w:sz w:val="18"/>
                <w:szCs w:val="18"/>
              </w:rPr>
              <w:t>84.5%</w:t>
            </w:r>
          </w:p>
        </w:tc>
      </w:tr>
      <w:tr w:rsidR="00B5296C" w:rsidRPr="002B184F" w:rsidTr="00DE5CBB">
        <w:trPr>
          <w:trHeight w:val="12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296C" w:rsidRPr="0036124B" w:rsidRDefault="00B5296C" w:rsidP="00924146">
            <w:pPr>
              <w:rPr>
                <w:rFonts w:ascii="Arial" w:hAnsi="Arial" w:cs="Arial"/>
                <w:sz w:val="18"/>
                <w:szCs w:val="18"/>
              </w:rPr>
            </w:pPr>
            <w:r w:rsidRPr="0036124B">
              <w:rPr>
                <w:rFonts w:ascii="Arial" w:hAnsi="Arial" w:cs="Arial"/>
                <w:sz w:val="18"/>
                <w:szCs w:val="18"/>
              </w:rPr>
              <w:t>Source: SFA</w:t>
            </w:r>
          </w:p>
          <w:p w:rsidR="00B5296C" w:rsidRPr="0036124B" w:rsidRDefault="00B5296C" w:rsidP="00924146">
            <w:pPr>
              <w:rPr>
                <w:rFonts w:ascii="Arial" w:hAnsi="Arial" w:cs="Arial"/>
                <w:sz w:val="18"/>
                <w:szCs w:val="18"/>
              </w:rPr>
            </w:pPr>
            <w:r w:rsidRPr="0036124B">
              <w:rPr>
                <w:rFonts w:ascii="Arial" w:hAnsi="Arial" w:cs="Arial"/>
                <w:sz w:val="18"/>
                <w:szCs w:val="18"/>
              </w:rPr>
              <w:t>Note: Table presents data on estimated providers with highest number of achievements in Lancashire.</w:t>
            </w:r>
          </w:p>
        </w:tc>
      </w:tr>
      <w:tr w:rsidR="00B5296C" w:rsidRPr="002B184F" w:rsidTr="00DE5CBB">
        <w:trPr>
          <w:trHeight w:val="12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B5296C" w:rsidRPr="0036124B" w:rsidRDefault="00B5296C" w:rsidP="00924146">
            <w:pPr>
              <w:rPr>
                <w:rFonts w:ascii="Arial" w:hAnsi="Arial" w:cs="Arial"/>
                <w:sz w:val="18"/>
                <w:szCs w:val="18"/>
              </w:rPr>
            </w:pPr>
            <w:r w:rsidRPr="0036124B">
              <w:rPr>
                <w:rFonts w:ascii="Arial" w:hAnsi="Arial" w:cs="Arial"/>
                <w:sz w:val="18"/>
                <w:szCs w:val="18"/>
              </w:rPr>
              <w:t>Above the national success rate in Leisure, Travel and Tourism (88.5%)</w:t>
            </w:r>
          </w:p>
        </w:tc>
      </w:tr>
      <w:tr w:rsidR="00B5296C" w:rsidRPr="002B184F" w:rsidTr="00DE5CBB">
        <w:trPr>
          <w:trHeight w:val="12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B5296C" w:rsidRPr="0036124B" w:rsidRDefault="00B5296C" w:rsidP="00924146">
            <w:pPr>
              <w:rPr>
                <w:rFonts w:ascii="Arial" w:hAnsi="Arial" w:cs="Arial"/>
                <w:sz w:val="18"/>
                <w:szCs w:val="18"/>
              </w:rPr>
            </w:pPr>
            <w:r w:rsidRPr="0036124B">
              <w:rPr>
                <w:rFonts w:ascii="Arial" w:hAnsi="Arial" w:cs="Arial"/>
                <w:sz w:val="18"/>
                <w:szCs w:val="18"/>
              </w:rPr>
              <w:t>Below the national success rate in Leisure, Travel and Tourism (88.5%)</w:t>
            </w:r>
          </w:p>
        </w:tc>
      </w:tr>
    </w:tbl>
    <w:p w:rsidR="008D4796" w:rsidRPr="008D4796" w:rsidRDefault="008D4796" w:rsidP="008D4796">
      <w:pPr>
        <w:pStyle w:val="normalnumbered"/>
        <w:tabs>
          <w:tab w:val="clear" w:pos="2666"/>
        </w:tabs>
        <w:spacing w:line="264" w:lineRule="auto"/>
        <w:ind w:left="0" w:right="40" w:firstLine="0"/>
        <w:rPr>
          <w:sz w:val="2"/>
          <w:szCs w:val="2"/>
        </w:rPr>
      </w:pPr>
    </w:p>
    <w:p w:rsidR="00E52887" w:rsidRDefault="0059679C" w:rsidP="0059679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Overall, Lancashire’s providers fare well against the national average success rate in Leisure, Travel and Tourism of 88.5%.  Across the ten providers that delivered the highest volume of Leisure, Travel and Tourism learning aims in 2013/14, seven had an above average success rate and only three were below the national average.  </w:t>
      </w:r>
      <w:r w:rsidR="00E52887">
        <w:rPr>
          <w:sz w:val="18"/>
          <w:szCs w:val="18"/>
        </w:rPr>
        <w:t xml:space="preserve">The message is therefore that where learners are choosing Leisure, Travel and Tourism related provision in the county, in many cases that provision appears to be of high quality and they have a very strong chance of succeeding.  </w:t>
      </w:r>
    </w:p>
    <w:p w:rsidR="0059679C" w:rsidRDefault="0059679C" w:rsidP="0059679C">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Further research could be undertaken with Blackburn College, in particular, to identify whether any aspects of their teaching and learning practice in Leisure, Travel and Tourism may be relevant and of benefit to other providers in the LEP area. </w:t>
      </w:r>
    </w:p>
    <w:p w:rsidR="00E52887" w:rsidRDefault="00E52887" w:rsidP="00E52887">
      <w:pPr>
        <w:pStyle w:val="normalnumbered"/>
        <w:tabs>
          <w:tab w:val="clear" w:pos="2666"/>
        </w:tabs>
        <w:spacing w:line="264" w:lineRule="auto"/>
        <w:ind w:left="0" w:right="40" w:firstLine="0"/>
        <w:rPr>
          <w:sz w:val="18"/>
          <w:szCs w:val="18"/>
        </w:rPr>
      </w:pPr>
    </w:p>
    <w:p w:rsidR="00A17C87" w:rsidRDefault="00A17C87" w:rsidP="00A17C87">
      <w:pPr>
        <w:keepNext/>
        <w:spacing w:before="360"/>
        <w:ind w:right="1627"/>
        <w:outlineLvl w:val="1"/>
        <w:rPr>
          <w:rFonts w:ascii="Arial" w:hAnsi="Arial" w:cs="Arial"/>
          <w:b/>
          <w:bCs/>
          <w:iCs/>
          <w:color w:val="660066"/>
          <w:sz w:val="22"/>
          <w:szCs w:val="22"/>
        </w:rPr>
      </w:pPr>
      <w:bookmarkStart w:id="105" w:name="_Toc422400110"/>
      <w:bookmarkStart w:id="106" w:name="_Toc422907648"/>
      <w:bookmarkStart w:id="107" w:name="_Toc424128481"/>
      <w:r>
        <w:rPr>
          <w:rFonts w:ascii="Arial" w:hAnsi="Arial" w:cs="Arial"/>
          <w:b/>
          <w:bCs/>
          <w:iCs/>
          <w:color w:val="660066"/>
          <w:sz w:val="22"/>
          <w:szCs w:val="22"/>
        </w:rPr>
        <w:lastRenderedPageBreak/>
        <w:t>Apprenticeships</w:t>
      </w:r>
      <w:bookmarkEnd w:id="105"/>
      <w:bookmarkEnd w:id="106"/>
      <w:bookmarkEnd w:id="107"/>
    </w:p>
    <w:p w:rsidR="0059679C" w:rsidRPr="00E52887" w:rsidRDefault="0059679C" w:rsidP="0059679C">
      <w:pPr>
        <w:tabs>
          <w:tab w:val="num" w:pos="860"/>
          <w:tab w:val="num" w:pos="1105"/>
        </w:tabs>
        <w:spacing w:before="240" w:after="120" w:line="288" w:lineRule="auto"/>
        <w:jc w:val="both"/>
        <w:rPr>
          <w:rFonts w:ascii="Arial" w:hAnsi="Arial" w:cs="Arial"/>
          <w:b/>
          <w:i/>
          <w:color w:val="660066"/>
          <w:sz w:val="20"/>
          <w:szCs w:val="20"/>
        </w:rPr>
      </w:pPr>
      <w:r w:rsidRPr="00E52887">
        <w:rPr>
          <w:rFonts w:ascii="Arial" w:hAnsi="Arial" w:cs="Arial"/>
          <w:b/>
          <w:i/>
          <w:color w:val="660066"/>
          <w:sz w:val="20"/>
          <w:szCs w:val="20"/>
        </w:rPr>
        <w:t xml:space="preserve">Starts: overall, by age and level </w:t>
      </w:r>
    </w:p>
    <w:p w:rsidR="00A17C87" w:rsidRPr="003F6F29" w:rsidRDefault="00A17C87" w:rsidP="00A17C87">
      <w:pPr>
        <w:pStyle w:val="normalnumbered"/>
        <w:numPr>
          <w:ilvl w:val="1"/>
          <w:numId w:val="1"/>
        </w:numPr>
        <w:tabs>
          <w:tab w:val="clear" w:pos="2666"/>
          <w:tab w:val="num" w:pos="709"/>
        </w:tabs>
        <w:spacing w:line="264" w:lineRule="auto"/>
        <w:ind w:left="0" w:right="40" w:firstLine="0"/>
        <w:rPr>
          <w:sz w:val="18"/>
          <w:szCs w:val="18"/>
        </w:rPr>
      </w:pPr>
      <w:r w:rsidRPr="003F6F29">
        <w:rPr>
          <w:sz w:val="18"/>
          <w:szCs w:val="18"/>
        </w:rPr>
        <w:t>In 2013/14 there were 360 starts on Leisure, Travel and Tourism apprenticeships in Lancashire.  This represents 3% of all apprenticeship starts in the county and is line with the equivalent figures for both the North West region and the country as a whole.  Leisure, Travel and Tourism was the sixth most commonly selected apprenticeship framework in Lancashire in 2013/14, although the frameworks in the top three positions had between 7 and 13 times th</w:t>
      </w:r>
      <w:r w:rsidR="00DE5CBB">
        <w:rPr>
          <w:sz w:val="18"/>
          <w:szCs w:val="18"/>
        </w:rPr>
        <w:t xml:space="preserve">e </w:t>
      </w:r>
      <w:r w:rsidRPr="003F6F29">
        <w:rPr>
          <w:sz w:val="18"/>
          <w:szCs w:val="18"/>
        </w:rPr>
        <w:t xml:space="preserve">number of starts </w:t>
      </w:r>
      <w:r w:rsidR="00DE5CBB">
        <w:rPr>
          <w:sz w:val="18"/>
          <w:szCs w:val="18"/>
        </w:rPr>
        <w:t xml:space="preserve">as Leisure, Travel and Tourism. </w:t>
      </w:r>
      <w:r w:rsidRPr="003F6F29">
        <w:rPr>
          <w:sz w:val="18"/>
          <w:szCs w:val="18"/>
        </w:rPr>
        <w:t xml:space="preserve"> </w:t>
      </w:r>
    </w:p>
    <w:tbl>
      <w:tblPr>
        <w:tblStyle w:val="TableGrid"/>
        <w:tblW w:w="0" w:type="auto"/>
        <w:tblLook w:val="04A0" w:firstRow="1" w:lastRow="0" w:firstColumn="1" w:lastColumn="0" w:noHBand="0" w:noVBand="1"/>
      </w:tblPr>
      <w:tblGrid>
        <w:gridCol w:w="2224"/>
        <w:gridCol w:w="938"/>
        <w:gridCol w:w="775"/>
        <w:gridCol w:w="1018"/>
        <w:gridCol w:w="695"/>
        <w:gridCol w:w="1183"/>
      </w:tblGrid>
      <w:tr w:rsidR="00A17C87" w:rsidRPr="007D527D" w:rsidTr="00DE5CBB">
        <w:trPr>
          <w:trHeight w:val="335"/>
        </w:trPr>
        <w:tc>
          <w:tcPr>
            <w:tcW w:w="68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A17C87" w:rsidRPr="0036124B" w:rsidRDefault="003A0984" w:rsidP="00924146">
            <w:pPr>
              <w:rPr>
                <w:rFonts w:ascii="Arial" w:hAnsi="Arial" w:cs="Arial"/>
                <w:b/>
                <w:sz w:val="18"/>
                <w:szCs w:val="18"/>
              </w:rPr>
            </w:pPr>
            <w:r w:rsidRPr="0036124B">
              <w:rPr>
                <w:rFonts w:ascii="Arial" w:hAnsi="Arial" w:cs="Arial"/>
                <w:b/>
                <w:sz w:val="18"/>
                <w:szCs w:val="18"/>
              </w:rPr>
              <w:t>A</w:t>
            </w:r>
            <w:r w:rsidR="00A17C87" w:rsidRPr="0036124B">
              <w:rPr>
                <w:rFonts w:ascii="Arial" w:hAnsi="Arial" w:cs="Arial"/>
                <w:b/>
                <w:sz w:val="18"/>
                <w:szCs w:val="18"/>
              </w:rPr>
              <w:t>pprenticeship starts by sector: Change 2012/13 – 2013/14</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b/>
                <w:sz w:val="18"/>
                <w:szCs w:val="18"/>
              </w:rPr>
            </w:pP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0C0D2C">
            <w:pPr>
              <w:jc w:val="right"/>
              <w:rPr>
                <w:rFonts w:ascii="Arial" w:hAnsi="Arial" w:cs="Arial"/>
                <w:b/>
                <w:color w:val="000000"/>
                <w:sz w:val="18"/>
                <w:szCs w:val="18"/>
              </w:rPr>
            </w:pPr>
            <w:r w:rsidRPr="0036124B">
              <w:rPr>
                <w:rFonts w:ascii="Arial" w:hAnsi="Arial" w:cs="Arial"/>
                <w:b/>
                <w:color w:val="000000"/>
                <w:sz w:val="18"/>
                <w:szCs w:val="18"/>
              </w:rPr>
              <w:t>2012/13</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0C0D2C">
            <w:pPr>
              <w:jc w:val="right"/>
              <w:rPr>
                <w:rFonts w:ascii="Arial" w:hAnsi="Arial" w:cs="Arial"/>
                <w:b/>
                <w:color w:val="000000"/>
                <w:sz w:val="18"/>
                <w:szCs w:val="18"/>
              </w:rPr>
            </w:pPr>
            <w:r w:rsidRPr="0036124B">
              <w:rPr>
                <w:rFonts w:ascii="Arial" w:hAnsi="Arial" w:cs="Arial"/>
                <w:b/>
                <w:color w:val="000000"/>
                <w:sz w:val="18"/>
                <w:szCs w:val="18"/>
              </w:rPr>
              <w:t>%</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0C0D2C">
            <w:pPr>
              <w:jc w:val="right"/>
              <w:rPr>
                <w:rFonts w:ascii="Arial" w:hAnsi="Arial" w:cs="Arial"/>
                <w:b/>
                <w:color w:val="000000"/>
                <w:sz w:val="18"/>
                <w:szCs w:val="18"/>
              </w:rPr>
            </w:pPr>
            <w:r w:rsidRPr="0036124B">
              <w:rPr>
                <w:rFonts w:ascii="Arial" w:hAnsi="Arial" w:cs="Arial"/>
                <w:b/>
                <w:color w:val="000000"/>
                <w:sz w:val="18"/>
                <w:szCs w:val="18"/>
              </w:rPr>
              <w:t>2013/14</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0C0D2C">
            <w:pPr>
              <w:jc w:val="right"/>
              <w:rPr>
                <w:rFonts w:ascii="Arial" w:hAnsi="Arial" w:cs="Arial"/>
                <w:b/>
                <w:color w:val="000000"/>
                <w:sz w:val="18"/>
                <w:szCs w:val="18"/>
              </w:rPr>
            </w:pPr>
            <w:r w:rsidRPr="0036124B">
              <w:rPr>
                <w:rFonts w:ascii="Arial" w:hAnsi="Arial" w:cs="Arial"/>
                <w:b/>
                <w:color w:val="000000"/>
                <w:sz w:val="18"/>
                <w:szCs w:val="18"/>
              </w:rPr>
              <w:t>%</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0C0D2C">
            <w:pPr>
              <w:jc w:val="right"/>
              <w:rPr>
                <w:rFonts w:ascii="Arial" w:hAnsi="Arial" w:cs="Arial"/>
                <w:b/>
                <w:color w:val="000000"/>
                <w:sz w:val="18"/>
                <w:szCs w:val="18"/>
              </w:rPr>
            </w:pPr>
            <w:r w:rsidRPr="0036124B">
              <w:rPr>
                <w:rFonts w:ascii="Arial" w:hAnsi="Arial" w:cs="Arial"/>
                <w:b/>
                <w:color w:val="000000"/>
                <w:sz w:val="18"/>
                <w:szCs w:val="18"/>
              </w:rPr>
              <w:t>Change (%)</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Business, Administration and Law</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6,380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36%</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4,690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33%</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-26%</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Health, Public Services and Care</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4,520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25%</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3,380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24%</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-25%</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Retail and Commercial Enterprise</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3,020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17%</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2,530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18%</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-16%</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Engineering and Manufacturing Technologies</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1,860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10%</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2,090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15%</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13%</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Construction, Planning and the Built Environ.</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790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4%</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570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4%</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-27%</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Leisure, Travel and Tourism</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430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360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-15%</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Education and Training</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340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270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-22%</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Information and Communication Technology</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330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250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-24%</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Agriculture, Horticulture and Animal Care</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160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190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20%</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Arts, Media and Publishing</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0%</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0%</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-3%</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color w:val="000000"/>
                <w:sz w:val="18"/>
                <w:szCs w:val="18"/>
              </w:rPr>
            </w:pPr>
            <w:r w:rsidRPr="0036124B">
              <w:rPr>
                <w:rFonts w:ascii="Arial" w:hAnsi="Arial" w:cs="Arial"/>
                <w:color w:val="000000"/>
                <w:sz w:val="18"/>
                <w:szCs w:val="18"/>
              </w:rPr>
              <w:t>Science and Mathematics</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0%</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1,410</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0%</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color w:val="000000"/>
                <w:sz w:val="18"/>
                <w:szCs w:val="18"/>
              </w:rPr>
            </w:pPr>
            <w:r w:rsidRPr="0036124B">
              <w:rPr>
                <w:rFonts w:ascii="Arial" w:hAnsi="Arial" w:cs="Arial"/>
                <w:color w:val="000000"/>
                <w:sz w:val="18"/>
                <w:szCs w:val="18"/>
              </w:rPr>
              <w:t>56%</w:t>
            </w:r>
          </w:p>
        </w:tc>
      </w:tr>
      <w:tr w:rsidR="00A17C87" w:rsidRPr="007D527D" w:rsidTr="00DE5CBB">
        <w:trPr>
          <w:trHeight w:val="255"/>
        </w:trPr>
        <w:tc>
          <w:tcPr>
            <w:tcW w:w="2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rPr>
                <w:rFonts w:ascii="Arial" w:hAnsi="Arial" w:cs="Arial"/>
                <w:b/>
                <w:color w:val="000000"/>
                <w:sz w:val="18"/>
                <w:szCs w:val="18"/>
              </w:rPr>
            </w:pPr>
            <w:r w:rsidRPr="0036124B">
              <w:rPr>
                <w:rFonts w:ascii="Arial" w:hAnsi="Arial" w:cs="Arial"/>
                <w:b/>
                <w:color w:val="000000"/>
                <w:sz w:val="18"/>
                <w:szCs w:val="18"/>
              </w:rPr>
              <w:t>Total</w:t>
            </w:r>
          </w:p>
        </w:tc>
        <w:tc>
          <w:tcPr>
            <w:tcW w:w="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b/>
                <w:color w:val="000000"/>
                <w:sz w:val="18"/>
                <w:szCs w:val="18"/>
              </w:rPr>
            </w:pPr>
            <w:r w:rsidRPr="0036124B">
              <w:rPr>
                <w:rFonts w:ascii="Arial" w:hAnsi="Arial" w:cs="Arial"/>
                <w:b/>
                <w:color w:val="000000"/>
                <w:sz w:val="18"/>
                <w:szCs w:val="18"/>
              </w:rPr>
              <w:t>17,860</w:t>
            </w:r>
          </w:p>
        </w:tc>
        <w:tc>
          <w:tcPr>
            <w:tcW w:w="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b/>
                <w:color w:val="000000"/>
                <w:sz w:val="18"/>
                <w:szCs w:val="18"/>
              </w:rPr>
            </w:pPr>
            <w:r w:rsidRPr="0036124B">
              <w:rPr>
                <w:rFonts w:ascii="Arial" w:hAnsi="Arial" w:cs="Arial"/>
                <w:b/>
                <w:color w:val="000000"/>
                <w:sz w:val="18"/>
                <w:szCs w:val="18"/>
              </w:rPr>
              <w:t>100%</w:t>
            </w: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b/>
                <w:color w:val="000000"/>
                <w:sz w:val="18"/>
                <w:szCs w:val="18"/>
              </w:rPr>
            </w:pPr>
            <w:r w:rsidRPr="0036124B">
              <w:rPr>
                <w:rFonts w:ascii="Arial" w:hAnsi="Arial" w:cs="Arial"/>
                <w:b/>
                <w:color w:val="000000"/>
                <w:sz w:val="18"/>
                <w:szCs w:val="18"/>
              </w:rPr>
              <w:t>14,384</w:t>
            </w:r>
          </w:p>
        </w:tc>
        <w:tc>
          <w:tcPr>
            <w:tcW w:w="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b/>
                <w:color w:val="000000"/>
                <w:sz w:val="18"/>
                <w:szCs w:val="18"/>
              </w:rPr>
            </w:pPr>
            <w:r w:rsidRPr="0036124B">
              <w:rPr>
                <w:rFonts w:ascii="Arial" w:hAnsi="Arial" w:cs="Arial"/>
                <w:b/>
                <w:color w:val="000000"/>
                <w:sz w:val="18"/>
                <w:szCs w:val="18"/>
              </w:rPr>
              <w:t>100%</w:t>
            </w:r>
          </w:p>
        </w:tc>
        <w:tc>
          <w:tcPr>
            <w:tcW w:w="11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924146">
            <w:pPr>
              <w:jc w:val="right"/>
              <w:rPr>
                <w:rFonts w:ascii="Arial" w:hAnsi="Arial" w:cs="Arial"/>
                <w:b/>
                <w:color w:val="000000"/>
                <w:sz w:val="18"/>
                <w:szCs w:val="18"/>
              </w:rPr>
            </w:pPr>
            <w:r w:rsidRPr="0036124B">
              <w:rPr>
                <w:rFonts w:ascii="Arial" w:hAnsi="Arial" w:cs="Arial"/>
                <w:b/>
                <w:color w:val="000000"/>
                <w:sz w:val="18"/>
                <w:szCs w:val="18"/>
              </w:rPr>
              <w:t>-19%</w:t>
            </w:r>
          </w:p>
        </w:tc>
      </w:tr>
      <w:tr w:rsidR="00A17C87" w:rsidRPr="007D527D" w:rsidTr="00DE5CBB">
        <w:trPr>
          <w:trHeight w:val="255"/>
        </w:trPr>
        <w:tc>
          <w:tcPr>
            <w:tcW w:w="68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7C87" w:rsidRPr="0036124B" w:rsidRDefault="00A17C87" w:rsidP="00924146">
            <w:pPr>
              <w:rPr>
                <w:rFonts w:ascii="Arial" w:hAnsi="Arial" w:cs="Arial"/>
                <w:sz w:val="18"/>
                <w:szCs w:val="18"/>
              </w:rPr>
            </w:pPr>
            <w:r w:rsidRPr="0036124B">
              <w:rPr>
                <w:rFonts w:ascii="Arial" w:hAnsi="Arial" w:cs="Arial"/>
                <w:sz w:val="18"/>
                <w:szCs w:val="18"/>
              </w:rPr>
              <w:t>Source: Data Cube</w:t>
            </w:r>
          </w:p>
        </w:tc>
      </w:tr>
    </w:tbl>
    <w:p w:rsidR="0036124B" w:rsidRDefault="00A17C87" w:rsidP="00A17C87">
      <w:pPr>
        <w:pStyle w:val="normalnumbered"/>
        <w:numPr>
          <w:ilvl w:val="1"/>
          <w:numId w:val="1"/>
        </w:numPr>
        <w:tabs>
          <w:tab w:val="clear" w:pos="2666"/>
          <w:tab w:val="num" w:pos="709"/>
        </w:tabs>
        <w:spacing w:line="264" w:lineRule="auto"/>
        <w:ind w:left="0" w:right="40" w:firstLine="0"/>
        <w:rPr>
          <w:sz w:val="18"/>
          <w:szCs w:val="18"/>
        </w:rPr>
      </w:pPr>
      <w:r>
        <w:rPr>
          <w:sz w:val="18"/>
          <w:szCs w:val="18"/>
        </w:rPr>
        <w:lastRenderedPageBreak/>
        <w:t xml:space="preserve">Between 2012/12 and 2013/14, the reduction in the number of Leisure, Travel and Tourism apprenticeships was accounted for entirely by a drop in the number of Advanced Apprenticeship starts.  This mirrors the situation across Lancashire (all frameworks), where Advanced Apprenticeships accounted for 46% of starts in 2012/13 but only 33% in 2013/14. </w:t>
      </w:r>
      <w:r w:rsidR="0036124B">
        <w:rPr>
          <w:sz w:val="18"/>
          <w:szCs w:val="18"/>
        </w:rPr>
        <w:t xml:space="preserve"> The reduction is believed to be largely down to the proposed introduction of Advanced Learning Loans for Level 3+ provision for learners aged 24+, although the Government has since withdrawn this obligation.  </w:t>
      </w:r>
    </w:p>
    <w:p w:rsidR="00226BDF" w:rsidRDefault="00A17C87" w:rsidP="00A17C87">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Perhaps of greater concern is the fact that </w:t>
      </w:r>
      <w:r w:rsidR="00226BDF">
        <w:rPr>
          <w:sz w:val="18"/>
          <w:szCs w:val="18"/>
        </w:rPr>
        <w:t xml:space="preserve">following </w:t>
      </w:r>
      <w:r w:rsidRPr="00FB57BE">
        <w:rPr>
          <w:sz w:val="18"/>
          <w:szCs w:val="18"/>
        </w:rPr>
        <w:t xml:space="preserve">a steady year-on-year increase in Leisure, Travel and Tourism apprenticeships in Lancashire, a </w:t>
      </w:r>
      <w:r w:rsidR="00226BDF">
        <w:rPr>
          <w:sz w:val="18"/>
          <w:szCs w:val="18"/>
        </w:rPr>
        <w:t xml:space="preserve">reduction of </w:t>
      </w:r>
      <w:r w:rsidRPr="00FB57BE">
        <w:rPr>
          <w:sz w:val="18"/>
          <w:szCs w:val="18"/>
        </w:rPr>
        <w:t xml:space="preserve">60% was </w:t>
      </w:r>
      <w:r w:rsidR="00226BDF">
        <w:rPr>
          <w:sz w:val="18"/>
          <w:szCs w:val="18"/>
        </w:rPr>
        <w:t xml:space="preserve">observed </w:t>
      </w:r>
      <w:r w:rsidR="00E52887">
        <w:rPr>
          <w:sz w:val="18"/>
          <w:szCs w:val="18"/>
        </w:rPr>
        <w:t xml:space="preserve">between 2011/12 and 2013/14, reflected in employer feedback about the scarcity of good quality apprenticeship candidates.  </w:t>
      </w:r>
      <w:r w:rsidRPr="00FB57BE">
        <w:rPr>
          <w:sz w:val="18"/>
          <w:szCs w:val="18"/>
        </w:rPr>
        <w:t xml:space="preserve">The number of starts across all frameworks combined in Lancashire also fell over this period but to a far lesser extent (-16%).  </w:t>
      </w:r>
      <w:r>
        <w:rPr>
          <w:sz w:val="18"/>
          <w:szCs w:val="18"/>
        </w:rPr>
        <w:t xml:space="preserve">  </w:t>
      </w:r>
    </w:p>
    <w:tbl>
      <w:tblPr>
        <w:tblStyle w:val="TableGrid"/>
        <w:tblW w:w="6345" w:type="dxa"/>
        <w:jc w:val="center"/>
        <w:tblLook w:val="04A0" w:firstRow="1" w:lastRow="0" w:firstColumn="1" w:lastColumn="0" w:noHBand="0" w:noVBand="1"/>
      </w:tblPr>
      <w:tblGrid>
        <w:gridCol w:w="3085"/>
        <w:gridCol w:w="851"/>
        <w:gridCol w:w="708"/>
        <w:gridCol w:w="851"/>
        <w:gridCol w:w="850"/>
      </w:tblGrid>
      <w:tr w:rsidR="00A17C87" w:rsidRPr="0036124B" w:rsidTr="00DE5CBB">
        <w:trPr>
          <w:trHeight w:val="255"/>
          <w:jc w:val="center"/>
        </w:trPr>
        <w:tc>
          <w:tcPr>
            <w:tcW w:w="63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A17C87" w:rsidRPr="0036124B" w:rsidRDefault="00A17C87" w:rsidP="00AC553E">
            <w:pPr>
              <w:rPr>
                <w:rFonts w:ascii="Arial" w:hAnsi="Arial" w:cs="Arial"/>
                <w:b/>
                <w:sz w:val="18"/>
                <w:szCs w:val="18"/>
                <w:lang w:eastAsia="en-GB"/>
              </w:rPr>
            </w:pPr>
            <w:r w:rsidRPr="0036124B">
              <w:rPr>
                <w:rFonts w:ascii="Arial" w:hAnsi="Arial" w:cs="Arial"/>
                <w:b/>
                <w:sz w:val="18"/>
                <w:szCs w:val="18"/>
                <w:lang w:eastAsia="en-GB"/>
              </w:rPr>
              <w:t>Leisure, Travel and Tourism Lanca</w:t>
            </w:r>
            <w:r w:rsidR="0036124B">
              <w:rPr>
                <w:rFonts w:ascii="Arial" w:hAnsi="Arial" w:cs="Arial"/>
                <w:b/>
                <w:sz w:val="18"/>
                <w:szCs w:val="18"/>
                <w:lang w:eastAsia="en-GB"/>
              </w:rPr>
              <w:t>shire Learner Profile by level</w:t>
            </w:r>
            <w:r w:rsidRPr="0036124B">
              <w:rPr>
                <w:rFonts w:ascii="Arial" w:hAnsi="Arial" w:cs="Arial"/>
                <w:b/>
                <w:sz w:val="18"/>
                <w:szCs w:val="18"/>
                <w:lang w:eastAsia="en-GB"/>
              </w:rPr>
              <w:t>: Apprenticeship Starts</w:t>
            </w:r>
          </w:p>
        </w:tc>
      </w:tr>
      <w:tr w:rsidR="00A17C87" w:rsidRPr="0036124B" w:rsidTr="00DE5CBB">
        <w:trPr>
          <w:trHeight w:val="255"/>
          <w:jc w:val="center"/>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rPr>
                <w:rFonts w:ascii="Arial" w:hAnsi="Arial" w:cs="Arial"/>
                <w:color w:val="000000"/>
                <w:sz w:val="18"/>
                <w:szCs w:val="18"/>
                <w:lang w:eastAsia="en-GB"/>
              </w:rPr>
            </w:pPr>
          </w:p>
        </w:tc>
        <w:tc>
          <w:tcPr>
            <w:tcW w:w="15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0C0D2C">
            <w:pPr>
              <w:jc w:val="center"/>
              <w:rPr>
                <w:rFonts w:ascii="Arial" w:hAnsi="Arial" w:cs="Arial"/>
                <w:b/>
                <w:color w:val="000000"/>
                <w:sz w:val="18"/>
                <w:szCs w:val="18"/>
                <w:lang w:eastAsia="en-GB"/>
              </w:rPr>
            </w:pPr>
            <w:r w:rsidRPr="0036124B">
              <w:rPr>
                <w:rFonts w:ascii="Arial" w:hAnsi="Arial" w:cs="Arial"/>
                <w:b/>
                <w:color w:val="000000"/>
                <w:sz w:val="18"/>
                <w:szCs w:val="18"/>
                <w:lang w:eastAsia="en-GB"/>
              </w:rPr>
              <w:t>2012/13</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0C0D2C">
            <w:pPr>
              <w:jc w:val="center"/>
              <w:rPr>
                <w:rFonts w:ascii="Arial" w:hAnsi="Arial" w:cs="Arial"/>
                <w:b/>
                <w:color w:val="000000"/>
                <w:sz w:val="18"/>
                <w:szCs w:val="18"/>
                <w:lang w:eastAsia="en-GB"/>
              </w:rPr>
            </w:pPr>
            <w:r w:rsidRPr="0036124B">
              <w:rPr>
                <w:rFonts w:ascii="Arial" w:hAnsi="Arial" w:cs="Arial"/>
                <w:b/>
                <w:color w:val="000000"/>
                <w:sz w:val="18"/>
                <w:szCs w:val="18"/>
                <w:lang w:eastAsia="en-GB"/>
              </w:rPr>
              <w:t>2013/14</w:t>
            </w:r>
          </w:p>
        </w:tc>
      </w:tr>
      <w:tr w:rsidR="00A17C87" w:rsidRPr="0036124B" w:rsidTr="00DE5CBB">
        <w:trPr>
          <w:trHeight w:val="255"/>
          <w:jc w:val="center"/>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rPr>
                <w:rFonts w:ascii="Arial" w:hAnsi="Arial" w:cs="Arial"/>
                <w:color w:val="000000"/>
                <w:sz w:val="18"/>
                <w:szCs w:val="18"/>
                <w:lang w:eastAsia="en-GB"/>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No.</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No.</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w:t>
            </w:r>
          </w:p>
        </w:tc>
      </w:tr>
      <w:tr w:rsidR="00A17C87" w:rsidRPr="0036124B" w:rsidTr="00DE5CBB">
        <w:trPr>
          <w:trHeight w:val="255"/>
          <w:jc w:val="center"/>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rPr>
                <w:rFonts w:ascii="Arial" w:hAnsi="Arial" w:cs="Arial"/>
                <w:color w:val="000000"/>
                <w:sz w:val="18"/>
                <w:szCs w:val="18"/>
                <w:lang w:eastAsia="en-GB"/>
              </w:rPr>
            </w:pPr>
            <w:r w:rsidRPr="0036124B">
              <w:rPr>
                <w:rFonts w:ascii="Arial" w:hAnsi="Arial" w:cs="Arial"/>
                <w:color w:val="000000"/>
                <w:sz w:val="18"/>
                <w:szCs w:val="18"/>
                <w:lang w:eastAsia="en-GB"/>
              </w:rPr>
              <w:t>Intermediate Level Apprenticeship</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230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55%</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230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63%</w:t>
            </w:r>
          </w:p>
        </w:tc>
      </w:tr>
      <w:tr w:rsidR="00A17C87" w:rsidRPr="0036124B" w:rsidTr="00DE5CBB">
        <w:trPr>
          <w:trHeight w:val="255"/>
          <w:jc w:val="center"/>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rPr>
                <w:rFonts w:ascii="Arial" w:hAnsi="Arial" w:cs="Arial"/>
                <w:color w:val="000000"/>
                <w:sz w:val="18"/>
                <w:szCs w:val="18"/>
                <w:lang w:eastAsia="en-GB"/>
              </w:rPr>
            </w:pPr>
            <w:r w:rsidRPr="0036124B">
              <w:rPr>
                <w:rFonts w:ascii="Arial" w:hAnsi="Arial" w:cs="Arial"/>
                <w:color w:val="000000"/>
                <w:sz w:val="18"/>
                <w:szCs w:val="18"/>
                <w:lang w:eastAsia="en-GB"/>
              </w:rPr>
              <w:t>Advanced Level Apprenticeship</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190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45%</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130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color w:val="000000"/>
                <w:sz w:val="18"/>
                <w:szCs w:val="18"/>
                <w:lang w:eastAsia="en-GB"/>
              </w:rPr>
            </w:pPr>
            <w:r w:rsidRPr="0036124B">
              <w:rPr>
                <w:rFonts w:ascii="Arial" w:hAnsi="Arial" w:cs="Arial"/>
                <w:color w:val="000000"/>
                <w:sz w:val="18"/>
                <w:szCs w:val="18"/>
                <w:lang w:eastAsia="en-GB"/>
              </w:rPr>
              <w:t>37%</w:t>
            </w:r>
          </w:p>
        </w:tc>
      </w:tr>
      <w:tr w:rsidR="00A17C87" w:rsidRPr="0036124B" w:rsidTr="00DE5CBB">
        <w:trPr>
          <w:trHeight w:val="255"/>
          <w:jc w:val="center"/>
        </w:trPr>
        <w:tc>
          <w:tcPr>
            <w:tcW w:w="3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rPr>
                <w:rFonts w:ascii="Arial" w:hAnsi="Arial" w:cs="Arial"/>
                <w:b/>
                <w:color w:val="000000"/>
                <w:sz w:val="18"/>
                <w:szCs w:val="18"/>
                <w:lang w:eastAsia="en-GB"/>
              </w:rPr>
            </w:pPr>
            <w:r w:rsidRPr="0036124B">
              <w:rPr>
                <w:rFonts w:ascii="Arial" w:hAnsi="Arial" w:cs="Arial"/>
                <w:b/>
                <w:color w:val="000000"/>
                <w:sz w:val="18"/>
                <w:szCs w:val="18"/>
                <w:lang w:eastAsia="en-GB"/>
              </w:rPr>
              <w:t>Total</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430</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100%</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360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jc w:val="right"/>
              <w:rPr>
                <w:rFonts w:ascii="Arial" w:hAnsi="Arial" w:cs="Arial"/>
                <w:b/>
                <w:color w:val="000000"/>
                <w:sz w:val="18"/>
                <w:szCs w:val="18"/>
                <w:lang w:eastAsia="en-GB"/>
              </w:rPr>
            </w:pPr>
            <w:r w:rsidRPr="0036124B">
              <w:rPr>
                <w:rFonts w:ascii="Arial" w:hAnsi="Arial" w:cs="Arial"/>
                <w:b/>
                <w:color w:val="000000"/>
                <w:sz w:val="18"/>
                <w:szCs w:val="18"/>
                <w:lang w:eastAsia="en-GB"/>
              </w:rPr>
              <w:t>100%</w:t>
            </w:r>
          </w:p>
        </w:tc>
      </w:tr>
      <w:tr w:rsidR="00A17C87" w:rsidRPr="0036124B" w:rsidTr="00DE5CBB">
        <w:trPr>
          <w:trHeight w:val="255"/>
          <w:jc w:val="center"/>
        </w:trPr>
        <w:tc>
          <w:tcPr>
            <w:tcW w:w="63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7C87" w:rsidRPr="0036124B" w:rsidRDefault="00A17C87" w:rsidP="00A17C87">
            <w:pPr>
              <w:rPr>
                <w:rFonts w:ascii="Arial" w:hAnsi="Arial" w:cs="Arial"/>
                <w:sz w:val="18"/>
                <w:szCs w:val="18"/>
                <w:lang w:eastAsia="en-GB"/>
              </w:rPr>
            </w:pPr>
            <w:r w:rsidRPr="0036124B">
              <w:rPr>
                <w:rFonts w:ascii="Arial" w:hAnsi="Arial" w:cs="Arial"/>
                <w:sz w:val="18"/>
                <w:szCs w:val="18"/>
                <w:lang w:eastAsia="en-GB"/>
              </w:rPr>
              <w:t>Source: Data Cube</w:t>
            </w:r>
          </w:p>
        </w:tc>
      </w:tr>
    </w:tbl>
    <w:p w:rsidR="00A17C87" w:rsidRPr="00A17C87" w:rsidRDefault="00A17C87" w:rsidP="00A17C87">
      <w:pPr>
        <w:ind w:right="40"/>
        <w:jc w:val="both"/>
        <w:rPr>
          <w:rFonts w:ascii="Arial" w:hAnsi="Arial"/>
          <w:color w:val="000000" w:themeColor="text1"/>
          <w:sz w:val="18"/>
          <w:szCs w:val="18"/>
          <w:lang w:eastAsia="en-GB"/>
        </w:rPr>
      </w:pPr>
    </w:p>
    <w:p w:rsidR="00A17C87" w:rsidRDefault="00226BDF" w:rsidP="00A17C87">
      <w:pPr>
        <w:pStyle w:val="normalnumbered"/>
        <w:numPr>
          <w:ilvl w:val="1"/>
          <w:numId w:val="1"/>
        </w:numPr>
        <w:tabs>
          <w:tab w:val="clear" w:pos="2666"/>
          <w:tab w:val="num" w:pos="709"/>
        </w:tabs>
        <w:spacing w:line="264" w:lineRule="auto"/>
        <w:ind w:left="0" w:right="40" w:firstLine="0"/>
        <w:rPr>
          <w:sz w:val="18"/>
          <w:szCs w:val="18"/>
        </w:rPr>
      </w:pPr>
      <w:r>
        <w:rPr>
          <w:sz w:val="18"/>
          <w:szCs w:val="18"/>
        </w:rPr>
        <w:t>Looking at Leisure, Travel and Tourism starts by age group shows that 16-18 year olds and, to a greater extent, 25+ year olds have been responsible for the reduction in starts between 2012/13 and 2013/14</w:t>
      </w:r>
      <w:r w:rsidR="0036124B">
        <w:rPr>
          <w:sz w:val="18"/>
          <w:szCs w:val="18"/>
        </w:rPr>
        <w:t xml:space="preserve"> (linked to the previous point on Advanced Learning Loans)</w:t>
      </w:r>
      <w:r w:rsidR="00A17C87" w:rsidRPr="00FB57BE">
        <w:rPr>
          <w:sz w:val="18"/>
          <w:szCs w:val="18"/>
        </w:rPr>
        <w:t xml:space="preserve">. </w:t>
      </w:r>
      <w:r>
        <w:rPr>
          <w:sz w:val="18"/>
          <w:szCs w:val="18"/>
        </w:rPr>
        <w:t xml:space="preserve"> </w:t>
      </w:r>
      <w:r w:rsidR="0036124B">
        <w:rPr>
          <w:sz w:val="18"/>
          <w:szCs w:val="18"/>
        </w:rPr>
        <w:t>By contrast, t</w:t>
      </w:r>
      <w:r>
        <w:rPr>
          <w:sz w:val="18"/>
          <w:szCs w:val="18"/>
        </w:rPr>
        <w:t xml:space="preserve">here was a slight increase in starts amongst learners aged 19-24 over that period.  This sits directly at odds with the all-framework profile across Lancashire, which saw a 10% increase in starts amongst 16-18 year olds, but a 3% and 40% reduction amongst those aged 19-24 and 25+ respectively. </w:t>
      </w:r>
      <w:r w:rsidR="003F6F29">
        <w:rPr>
          <w:sz w:val="18"/>
          <w:szCs w:val="18"/>
        </w:rPr>
        <w:t xml:space="preserve"> </w:t>
      </w:r>
    </w:p>
    <w:p w:rsidR="003F6F29" w:rsidRDefault="003F6F29" w:rsidP="003F6F29">
      <w:pPr>
        <w:pStyle w:val="normalnumbered"/>
        <w:tabs>
          <w:tab w:val="clear" w:pos="2666"/>
        </w:tabs>
        <w:spacing w:line="264" w:lineRule="auto"/>
        <w:ind w:left="0" w:right="40" w:firstLine="0"/>
        <w:rPr>
          <w:sz w:val="18"/>
          <w:szCs w:val="18"/>
        </w:rPr>
      </w:pPr>
    </w:p>
    <w:p w:rsidR="003F6F29" w:rsidRDefault="003F6F29" w:rsidP="003F6F29">
      <w:pPr>
        <w:pStyle w:val="normalnumbered"/>
        <w:tabs>
          <w:tab w:val="clear" w:pos="2666"/>
        </w:tabs>
        <w:spacing w:line="264" w:lineRule="auto"/>
        <w:ind w:left="0" w:right="40" w:firstLine="0"/>
        <w:rPr>
          <w:sz w:val="18"/>
          <w:szCs w:val="18"/>
        </w:rPr>
      </w:pPr>
    </w:p>
    <w:tbl>
      <w:tblPr>
        <w:tblStyle w:val="TableGrid"/>
        <w:tblW w:w="6345" w:type="dxa"/>
        <w:tblLook w:val="04A0" w:firstRow="1" w:lastRow="0" w:firstColumn="1" w:lastColumn="0" w:noHBand="0" w:noVBand="1"/>
      </w:tblPr>
      <w:tblGrid>
        <w:gridCol w:w="1242"/>
        <w:gridCol w:w="1134"/>
        <w:gridCol w:w="993"/>
        <w:gridCol w:w="1134"/>
        <w:gridCol w:w="850"/>
        <w:gridCol w:w="992"/>
      </w:tblGrid>
      <w:tr w:rsidR="00226BDF" w:rsidRPr="007D527D" w:rsidTr="00DE5CBB">
        <w:trPr>
          <w:trHeight w:val="255"/>
        </w:trPr>
        <w:tc>
          <w:tcPr>
            <w:tcW w:w="63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226BDF" w:rsidRPr="0036124B" w:rsidRDefault="00226BDF" w:rsidP="00924146">
            <w:pPr>
              <w:rPr>
                <w:rFonts w:ascii="Arial" w:hAnsi="Arial" w:cs="Arial"/>
                <w:b/>
                <w:sz w:val="18"/>
                <w:szCs w:val="18"/>
              </w:rPr>
            </w:pPr>
            <w:r w:rsidRPr="0036124B">
              <w:rPr>
                <w:rFonts w:ascii="Arial" w:hAnsi="Arial" w:cs="Arial"/>
                <w:b/>
                <w:sz w:val="18"/>
                <w:szCs w:val="18"/>
              </w:rPr>
              <w:lastRenderedPageBreak/>
              <w:t>Leisure, Travel and Tourism Lancashire Learner Profile</w:t>
            </w:r>
            <w:r w:rsidR="00955E89" w:rsidRPr="0036124B">
              <w:rPr>
                <w:rFonts w:ascii="Arial" w:hAnsi="Arial" w:cs="Arial"/>
                <w:b/>
                <w:sz w:val="18"/>
                <w:szCs w:val="18"/>
              </w:rPr>
              <w:t xml:space="preserve">  by age</w:t>
            </w:r>
            <w:r w:rsidRPr="0036124B">
              <w:rPr>
                <w:rFonts w:ascii="Arial" w:hAnsi="Arial" w:cs="Arial"/>
                <w:b/>
                <w:sz w:val="18"/>
                <w:szCs w:val="18"/>
              </w:rPr>
              <w:t>: Apprenticeship Starts</w:t>
            </w:r>
          </w:p>
        </w:tc>
      </w:tr>
      <w:tr w:rsidR="00226BDF" w:rsidRPr="007D527D" w:rsidTr="00DE5CBB">
        <w:trPr>
          <w:trHeight w:val="255"/>
        </w:trPr>
        <w:tc>
          <w:tcPr>
            <w:tcW w:w="1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color w:val="000000"/>
                <w:sz w:val="18"/>
                <w:szCs w:val="18"/>
              </w:rPr>
            </w:pPr>
          </w:p>
        </w:tc>
        <w:tc>
          <w:tcPr>
            <w:tcW w:w="2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center"/>
              <w:rPr>
                <w:rFonts w:ascii="Arial" w:hAnsi="Arial" w:cs="Arial"/>
                <w:b/>
                <w:color w:val="000000"/>
                <w:sz w:val="18"/>
                <w:szCs w:val="18"/>
              </w:rPr>
            </w:pPr>
            <w:r w:rsidRPr="0036124B">
              <w:rPr>
                <w:rFonts w:ascii="Arial" w:hAnsi="Arial" w:cs="Arial"/>
                <w:b/>
                <w:color w:val="000000"/>
                <w:sz w:val="18"/>
                <w:szCs w:val="18"/>
              </w:rPr>
              <w:t>2012/13</w:t>
            </w:r>
          </w:p>
        </w:tc>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center"/>
              <w:rPr>
                <w:rFonts w:ascii="Arial" w:hAnsi="Arial" w:cs="Arial"/>
                <w:b/>
                <w:color w:val="000000"/>
                <w:sz w:val="18"/>
                <w:szCs w:val="18"/>
              </w:rPr>
            </w:pPr>
            <w:r w:rsidRPr="0036124B">
              <w:rPr>
                <w:rFonts w:ascii="Arial" w:hAnsi="Arial" w:cs="Arial"/>
                <w:b/>
                <w:color w:val="000000"/>
                <w:sz w:val="18"/>
                <w:szCs w:val="18"/>
              </w:rPr>
              <w:t>2013/14</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center"/>
              <w:rPr>
                <w:rFonts w:ascii="Arial" w:hAnsi="Arial" w:cs="Arial"/>
                <w:b/>
                <w:color w:val="000000"/>
                <w:sz w:val="18"/>
                <w:szCs w:val="18"/>
              </w:rPr>
            </w:pPr>
            <w:r w:rsidRPr="0036124B">
              <w:rPr>
                <w:rFonts w:ascii="Arial" w:hAnsi="Arial" w:cs="Arial"/>
                <w:b/>
                <w:color w:val="000000"/>
                <w:sz w:val="18"/>
                <w:szCs w:val="18"/>
              </w:rPr>
              <w:t xml:space="preserve">Change </w:t>
            </w:r>
          </w:p>
        </w:tc>
      </w:tr>
      <w:tr w:rsidR="00226BDF" w:rsidRPr="007D527D" w:rsidTr="00DE5CBB">
        <w:trPr>
          <w:trHeight w:val="255"/>
        </w:trPr>
        <w:tc>
          <w:tcPr>
            <w:tcW w:w="1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color w:val="000000"/>
                <w:sz w:val="18"/>
                <w:szCs w:val="18"/>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226BDF">
            <w:pPr>
              <w:jc w:val="right"/>
              <w:rPr>
                <w:rFonts w:ascii="Arial" w:hAnsi="Arial" w:cs="Arial"/>
                <w:b/>
                <w:color w:val="000000"/>
                <w:sz w:val="18"/>
                <w:szCs w:val="18"/>
              </w:rPr>
            </w:pPr>
            <w:r w:rsidRPr="0036124B">
              <w:rPr>
                <w:rFonts w:ascii="Arial" w:hAnsi="Arial" w:cs="Arial"/>
                <w:b/>
                <w:color w:val="000000"/>
                <w:sz w:val="18"/>
                <w:szCs w:val="18"/>
              </w:rPr>
              <w:t>No.</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226BDF">
            <w:pPr>
              <w:jc w:val="right"/>
              <w:rPr>
                <w:rFonts w:ascii="Arial" w:hAnsi="Arial" w:cs="Arial"/>
                <w:b/>
                <w:color w:val="000000"/>
                <w:sz w:val="18"/>
                <w:szCs w:val="18"/>
              </w:rPr>
            </w:pPr>
            <w:r w:rsidRPr="0036124B">
              <w:rPr>
                <w:rFonts w:ascii="Arial" w:hAnsi="Arial" w:cs="Arial"/>
                <w:b/>
                <w:color w:val="000000"/>
                <w:sz w:val="18"/>
                <w:szCs w:val="18"/>
              </w:rPr>
              <w: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226BDF">
            <w:pPr>
              <w:jc w:val="right"/>
              <w:rPr>
                <w:rFonts w:ascii="Arial" w:hAnsi="Arial" w:cs="Arial"/>
                <w:b/>
                <w:color w:val="000000"/>
                <w:sz w:val="18"/>
                <w:szCs w:val="18"/>
              </w:rPr>
            </w:pPr>
            <w:r w:rsidRPr="0036124B">
              <w:rPr>
                <w:rFonts w:ascii="Arial" w:hAnsi="Arial" w:cs="Arial"/>
                <w:b/>
                <w:color w:val="000000"/>
                <w:sz w:val="18"/>
                <w:szCs w:val="18"/>
              </w:rPr>
              <w:t>No.</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226BDF">
            <w:pPr>
              <w:jc w:val="right"/>
              <w:rPr>
                <w:rFonts w:ascii="Arial" w:hAnsi="Arial" w:cs="Arial"/>
                <w:b/>
                <w:color w:val="000000"/>
                <w:sz w:val="18"/>
                <w:szCs w:val="18"/>
              </w:rPr>
            </w:pPr>
            <w:r w:rsidRPr="0036124B">
              <w:rPr>
                <w:rFonts w:ascii="Arial" w:hAnsi="Arial" w:cs="Arial"/>
                <w:b/>
                <w:color w:val="000000"/>
                <w:sz w:val="18"/>
                <w:szCs w:val="18"/>
              </w:rPr>
              <w: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226BDF">
            <w:pPr>
              <w:jc w:val="right"/>
              <w:rPr>
                <w:rFonts w:ascii="Arial" w:hAnsi="Arial" w:cs="Arial"/>
                <w:b/>
                <w:color w:val="000000"/>
                <w:sz w:val="18"/>
                <w:szCs w:val="18"/>
              </w:rPr>
            </w:pPr>
            <w:r w:rsidRPr="0036124B">
              <w:rPr>
                <w:rFonts w:ascii="Arial" w:hAnsi="Arial" w:cs="Arial"/>
                <w:b/>
                <w:color w:val="000000"/>
                <w:sz w:val="18"/>
                <w:szCs w:val="18"/>
              </w:rPr>
              <w:t>%</w:t>
            </w:r>
          </w:p>
        </w:tc>
      </w:tr>
      <w:tr w:rsidR="00226BDF" w:rsidRPr="007D527D" w:rsidTr="00DE5CBB">
        <w:trPr>
          <w:trHeight w:val="255"/>
        </w:trPr>
        <w:tc>
          <w:tcPr>
            <w:tcW w:w="1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color w:val="000000"/>
                <w:sz w:val="18"/>
                <w:szCs w:val="18"/>
              </w:rPr>
            </w:pPr>
            <w:r w:rsidRPr="0036124B">
              <w:rPr>
                <w:rFonts w:ascii="Arial" w:hAnsi="Arial" w:cs="Arial"/>
                <w:color w:val="000000"/>
                <w:sz w:val="18"/>
                <w:szCs w:val="18"/>
              </w:rPr>
              <w:t>Under 16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w:t>
            </w:r>
          </w:p>
        </w:tc>
      </w:tr>
      <w:tr w:rsidR="00226BDF" w:rsidRPr="007D527D" w:rsidTr="00DE5CBB">
        <w:trPr>
          <w:trHeight w:val="255"/>
        </w:trPr>
        <w:tc>
          <w:tcPr>
            <w:tcW w:w="1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color w:val="000000"/>
                <w:sz w:val="18"/>
                <w:szCs w:val="18"/>
              </w:rPr>
            </w:pPr>
            <w:r w:rsidRPr="0036124B">
              <w:rPr>
                <w:rFonts w:ascii="Arial" w:hAnsi="Arial" w:cs="Arial"/>
                <w:color w:val="000000"/>
                <w:sz w:val="18"/>
                <w:szCs w:val="18"/>
              </w:rPr>
              <w:t>16-18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140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34%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120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33%</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-17%</w:t>
            </w:r>
          </w:p>
        </w:tc>
      </w:tr>
      <w:tr w:rsidR="00226BDF" w:rsidRPr="007D527D" w:rsidTr="00DE5CBB">
        <w:trPr>
          <w:trHeight w:val="255"/>
        </w:trPr>
        <w:tc>
          <w:tcPr>
            <w:tcW w:w="1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color w:val="000000"/>
                <w:sz w:val="18"/>
                <w:szCs w:val="18"/>
              </w:rPr>
            </w:pPr>
            <w:r w:rsidRPr="0036124B">
              <w:rPr>
                <w:rFonts w:ascii="Arial" w:hAnsi="Arial" w:cs="Arial"/>
                <w:color w:val="000000"/>
                <w:sz w:val="18"/>
                <w:szCs w:val="18"/>
              </w:rPr>
              <w:t>19-24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130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31%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140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39%</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8%</w:t>
            </w:r>
          </w:p>
        </w:tc>
      </w:tr>
      <w:tr w:rsidR="00226BDF" w:rsidRPr="007D527D" w:rsidTr="00DE5CBB">
        <w:trPr>
          <w:trHeight w:val="255"/>
        </w:trPr>
        <w:tc>
          <w:tcPr>
            <w:tcW w:w="1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color w:val="000000"/>
                <w:sz w:val="18"/>
                <w:szCs w:val="18"/>
              </w:rPr>
            </w:pPr>
            <w:r w:rsidRPr="0036124B">
              <w:rPr>
                <w:rFonts w:ascii="Arial" w:hAnsi="Arial" w:cs="Arial"/>
                <w:color w:val="000000"/>
                <w:sz w:val="18"/>
                <w:szCs w:val="18"/>
              </w:rPr>
              <w:t>25+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150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35%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100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27%</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color w:val="000000"/>
                <w:sz w:val="18"/>
                <w:szCs w:val="18"/>
              </w:rPr>
            </w:pPr>
            <w:r w:rsidRPr="0036124B">
              <w:rPr>
                <w:rFonts w:ascii="Arial" w:hAnsi="Arial" w:cs="Arial"/>
                <w:color w:val="000000"/>
                <w:sz w:val="18"/>
                <w:szCs w:val="18"/>
              </w:rPr>
              <w:t>-34%</w:t>
            </w:r>
          </w:p>
        </w:tc>
      </w:tr>
      <w:tr w:rsidR="00226BDF" w:rsidRPr="007D527D" w:rsidTr="00DE5CBB">
        <w:trPr>
          <w:trHeight w:val="255"/>
        </w:trPr>
        <w:tc>
          <w:tcPr>
            <w:tcW w:w="1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b/>
                <w:color w:val="000000"/>
                <w:sz w:val="18"/>
                <w:szCs w:val="18"/>
              </w:rPr>
            </w:pPr>
            <w:r w:rsidRPr="0036124B">
              <w:rPr>
                <w:rFonts w:ascii="Arial" w:hAnsi="Arial" w:cs="Arial"/>
                <w:b/>
                <w:color w:val="000000"/>
                <w:sz w:val="18"/>
                <w:szCs w:val="18"/>
              </w:rPr>
              <w:t>Total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b/>
                <w:color w:val="000000"/>
                <w:sz w:val="18"/>
                <w:szCs w:val="18"/>
              </w:rPr>
            </w:pPr>
            <w:r w:rsidRPr="0036124B">
              <w:rPr>
                <w:rFonts w:ascii="Arial" w:hAnsi="Arial" w:cs="Arial"/>
                <w:b/>
                <w:color w:val="000000"/>
                <w:sz w:val="18"/>
                <w:szCs w:val="18"/>
              </w:rPr>
              <w:t>430</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b/>
                <w:color w:val="000000"/>
                <w:sz w:val="18"/>
                <w:szCs w:val="18"/>
              </w:rPr>
            </w:pPr>
            <w:r w:rsidRPr="0036124B">
              <w:rPr>
                <w:rFonts w:ascii="Arial" w:hAnsi="Arial" w:cs="Arial"/>
                <w:b/>
                <w:color w:val="000000"/>
                <w:sz w:val="18"/>
                <w:szCs w:val="18"/>
              </w:rPr>
              <w:t>100%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b/>
                <w:color w:val="000000"/>
                <w:sz w:val="18"/>
                <w:szCs w:val="18"/>
              </w:rPr>
            </w:pPr>
            <w:r w:rsidRPr="0036124B">
              <w:rPr>
                <w:rFonts w:ascii="Arial" w:hAnsi="Arial" w:cs="Arial"/>
                <w:b/>
                <w:color w:val="000000"/>
                <w:sz w:val="18"/>
                <w:szCs w:val="18"/>
              </w:rPr>
              <w:t>360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b/>
                <w:color w:val="000000"/>
                <w:sz w:val="18"/>
                <w:szCs w:val="18"/>
              </w:rPr>
            </w:pPr>
            <w:r w:rsidRPr="0036124B">
              <w:rPr>
                <w:rFonts w:ascii="Arial" w:hAnsi="Arial" w:cs="Arial"/>
                <w:b/>
                <w:color w:val="000000"/>
                <w:sz w:val="18"/>
                <w:szCs w:val="18"/>
              </w:rPr>
              <w:t>100%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jc w:val="right"/>
              <w:rPr>
                <w:rFonts w:ascii="Arial" w:hAnsi="Arial" w:cs="Arial"/>
                <w:b/>
                <w:color w:val="000000"/>
                <w:sz w:val="18"/>
                <w:szCs w:val="18"/>
              </w:rPr>
            </w:pPr>
            <w:r w:rsidRPr="0036124B">
              <w:rPr>
                <w:rFonts w:ascii="Arial" w:hAnsi="Arial" w:cs="Arial"/>
                <w:b/>
                <w:color w:val="000000"/>
                <w:sz w:val="18"/>
                <w:szCs w:val="18"/>
              </w:rPr>
              <w:t>-15%</w:t>
            </w:r>
          </w:p>
        </w:tc>
      </w:tr>
      <w:tr w:rsidR="00226BDF" w:rsidRPr="007D527D" w:rsidTr="00DE5CBB">
        <w:trPr>
          <w:trHeight w:val="255"/>
        </w:trPr>
        <w:tc>
          <w:tcPr>
            <w:tcW w:w="634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6BDF" w:rsidRPr="0036124B" w:rsidRDefault="00226BDF" w:rsidP="00924146">
            <w:pPr>
              <w:rPr>
                <w:rFonts w:ascii="Arial" w:hAnsi="Arial" w:cs="Arial"/>
                <w:sz w:val="18"/>
                <w:szCs w:val="18"/>
              </w:rPr>
            </w:pPr>
            <w:r w:rsidRPr="0036124B">
              <w:rPr>
                <w:rFonts w:ascii="Arial" w:hAnsi="Arial" w:cs="Arial"/>
                <w:sz w:val="18"/>
                <w:szCs w:val="18"/>
              </w:rPr>
              <w:t>Source: Data Cube</w:t>
            </w:r>
          </w:p>
        </w:tc>
      </w:tr>
    </w:tbl>
    <w:p w:rsidR="00326502" w:rsidRPr="00326502" w:rsidRDefault="00326502" w:rsidP="00326502">
      <w:pPr>
        <w:pStyle w:val="normalnumbered"/>
        <w:tabs>
          <w:tab w:val="clear" w:pos="2666"/>
        </w:tabs>
        <w:spacing w:line="264" w:lineRule="auto"/>
        <w:ind w:left="0" w:right="40" w:firstLine="0"/>
        <w:rPr>
          <w:sz w:val="2"/>
          <w:szCs w:val="2"/>
        </w:rPr>
      </w:pPr>
    </w:p>
    <w:p w:rsidR="00326502" w:rsidRDefault="00326502" w:rsidP="00326502">
      <w:pPr>
        <w:pStyle w:val="normalnumbered"/>
        <w:numPr>
          <w:ilvl w:val="1"/>
          <w:numId w:val="1"/>
        </w:numPr>
        <w:tabs>
          <w:tab w:val="clear" w:pos="2666"/>
          <w:tab w:val="num" w:pos="709"/>
        </w:tabs>
        <w:spacing w:line="264" w:lineRule="auto"/>
        <w:ind w:left="0" w:right="40" w:firstLine="0"/>
        <w:rPr>
          <w:sz w:val="18"/>
          <w:szCs w:val="18"/>
        </w:rPr>
      </w:pPr>
      <w:r>
        <w:rPr>
          <w:sz w:val="18"/>
          <w:szCs w:val="18"/>
        </w:rPr>
        <w:t>In some regards, the situation in Lancashire mirrors that nationally.  Research from CIPD suggests that apprenticeships in Leisure, Travel and Tourism receive, on average, fewer applications than vacancies in the vast majority of other subject areas.  Vacancies in Leisure Management and Leisure Operations, in particular, tend to receive very few vacancies</w:t>
      </w:r>
      <w:r>
        <w:rPr>
          <w:rStyle w:val="FootnoteReference"/>
          <w:sz w:val="18"/>
          <w:szCs w:val="18"/>
        </w:rPr>
        <w:footnoteReference w:id="51"/>
      </w:r>
      <w:r>
        <w:rPr>
          <w:sz w:val="18"/>
          <w:szCs w:val="18"/>
        </w:rPr>
        <w:t xml:space="preserve">.   </w:t>
      </w:r>
      <w:r w:rsidR="00E52887">
        <w:rPr>
          <w:sz w:val="18"/>
          <w:szCs w:val="18"/>
        </w:rPr>
        <w:t>Even so, it is a pattern which gives employers considerable cause for concern, especially where apprentices form an integral part of the</w:t>
      </w:r>
      <w:r w:rsidR="003F6F29">
        <w:rPr>
          <w:sz w:val="18"/>
          <w:szCs w:val="18"/>
        </w:rPr>
        <w:t>ir</w:t>
      </w:r>
      <w:r w:rsidR="00E52887">
        <w:rPr>
          <w:sz w:val="18"/>
          <w:szCs w:val="18"/>
        </w:rPr>
        <w:t xml:space="preserve"> workplace planning and succession strateg</w:t>
      </w:r>
      <w:r w:rsidR="003F6F29">
        <w:rPr>
          <w:sz w:val="18"/>
          <w:szCs w:val="18"/>
        </w:rPr>
        <w:t>ies</w:t>
      </w:r>
      <w:r w:rsidR="00E52887">
        <w:rPr>
          <w:sz w:val="18"/>
          <w:szCs w:val="18"/>
        </w:rPr>
        <w:t xml:space="preserve">.  </w:t>
      </w:r>
    </w:p>
    <w:p w:rsidR="0059679C" w:rsidRPr="00E52887" w:rsidRDefault="0059679C" w:rsidP="0059679C">
      <w:pPr>
        <w:tabs>
          <w:tab w:val="num" w:pos="860"/>
          <w:tab w:val="num" w:pos="1105"/>
        </w:tabs>
        <w:spacing w:before="240" w:after="120" w:line="288" w:lineRule="auto"/>
        <w:jc w:val="both"/>
        <w:rPr>
          <w:rFonts w:ascii="Arial" w:hAnsi="Arial" w:cs="Arial"/>
          <w:b/>
          <w:i/>
          <w:color w:val="660066"/>
          <w:sz w:val="20"/>
          <w:szCs w:val="20"/>
        </w:rPr>
      </w:pPr>
      <w:r w:rsidRPr="00E52887">
        <w:rPr>
          <w:rFonts w:ascii="Arial" w:hAnsi="Arial" w:cs="Arial"/>
          <w:b/>
          <w:i/>
          <w:color w:val="660066"/>
          <w:sz w:val="20"/>
          <w:szCs w:val="20"/>
        </w:rPr>
        <w:t xml:space="preserve">Starts by provider  </w:t>
      </w:r>
    </w:p>
    <w:p w:rsidR="00AA44E9" w:rsidRDefault="00DE5CBB" w:rsidP="00D3608D">
      <w:pPr>
        <w:pStyle w:val="normalnumbered"/>
        <w:numPr>
          <w:ilvl w:val="1"/>
          <w:numId w:val="1"/>
        </w:numPr>
        <w:tabs>
          <w:tab w:val="clear" w:pos="2666"/>
          <w:tab w:val="num" w:pos="709"/>
        </w:tabs>
        <w:spacing w:line="264" w:lineRule="auto"/>
        <w:ind w:left="0" w:right="40" w:firstLine="0"/>
        <w:rPr>
          <w:sz w:val="18"/>
          <w:szCs w:val="18"/>
        </w:rPr>
      </w:pPr>
      <w:r>
        <w:rPr>
          <w:sz w:val="18"/>
          <w:szCs w:val="18"/>
        </w:rPr>
        <w:t>Nearly on</w:t>
      </w:r>
      <w:r w:rsidR="00C1350E" w:rsidRPr="00C1350E">
        <w:rPr>
          <w:sz w:val="18"/>
          <w:szCs w:val="18"/>
        </w:rPr>
        <w:t xml:space="preserve">e in five of all 2013/14 apprenticeship starts in Leisure, Travel and Tourism was delivered by </w:t>
      </w:r>
      <w:r w:rsidR="000C0D2C" w:rsidRPr="00C1350E">
        <w:rPr>
          <w:sz w:val="18"/>
          <w:szCs w:val="18"/>
        </w:rPr>
        <w:t xml:space="preserve">Lifetime Training Group </w:t>
      </w:r>
      <w:r w:rsidR="00C1350E" w:rsidRPr="00C1350E">
        <w:rPr>
          <w:sz w:val="18"/>
          <w:szCs w:val="18"/>
        </w:rPr>
        <w:t>headquartered in Bristol</w:t>
      </w:r>
      <w:r w:rsidR="00C1350E">
        <w:rPr>
          <w:sz w:val="18"/>
          <w:szCs w:val="18"/>
        </w:rPr>
        <w:t xml:space="preserve">.  Noting </w:t>
      </w:r>
      <w:r w:rsidR="000C0D2C" w:rsidRPr="00C1350E">
        <w:rPr>
          <w:sz w:val="18"/>
          <w:szCs w:val="18"/>
        </w:rPr>
        <w:t>that figur</w:t>
      </w:r>
      <w:r w:rsidR="00C1350E">
        <w:rPr>
          <w:sz w:val="18"/>
          <w:szCs w:val="18"/>
        </w:rPr>
        <w:t>es in the Data Cube are rounded</w:t>
      </w:r>
      <w:r w:rsidR="002D20BE">
        <w:rPr>
          <w:sz w:val="18"/>
          <w:szCs w:val="18"/>
        </w:rPr>
        <w:t>,</w:t>
      </w:r>
      <w:r w:rsidR="000C0D2C" w:rsidRPr="00C1350E">
        <w:rPr>
          <w:sz w:val="18"/>
          <w:szCs w:val="18"/>
        </w:rPr>
        <w:t xml:space="preserve"> the other main providers of Leisure, Travel and Tourism apprenticeships </w:t>
      </w:r>
      <w:r w:rsidR="00C1350E">
        <w:rPr>
          <w:sz w:val="18"/>
          <w:szCs w:val="18"/>
        </w:rPr>
        <w:t xml:space="preserve">each </w:t>
      </w:r>
      <w:r w:rsidR="000C0D2C" w:rsidRPr="00C1350E">
        <w:rPr>
          <w:sz w:val="18"/>
          <w:szCs w:val="18"/>
        </w:rPr>
        <w:t xml:space="preserve">delivered </w:t>
      </w:r>
      <w:r w:rsidR="00C1350E">
        <w:rPr>
          <w:sz w:val="18"/>
          <w:szCs w:val="18"/>
        </w:rPr>
        <w:t xml:space="preserve">a </w:t>
      </w:r>
      <w:r w:rsidR="000C0D2C" w:rsidRPr="00C1350E">
        <w:rPr>
          <w:sz w:val="18"/>
          <w:szCs w:val="18"/>
        </w:rPr>
        <w:t>similar number of starts</w:t>
      </w:r>
      <w:r w:rsidR="00AA44E9" w:rsidRPr="00C1350E">
        <w:rPr>
          <w:sz w:val="18"/>
          <w:szCs w:val="18"/>
        </w:rPr>
        <w:t xml:space="preserve">.   </w:t>
      </w:r>
    </w:p>
    <w:p w:rsidR="003F6F29" w:rsidRDefault="003F6F29" w:rsidP="003F6F29">
      <w:pPr>
        <w:pStyle w:val="normalnumbered"/>
        <w:tabs>
          <w:tab w:val="clear" w:pos="2666"/>
        </w:tabs>
        <w:spacing w:line="264" w:lineRule="auto"/>
        <w:ind w:left="0" w:right="40" w:firstLine="0"/>
        <w:rPr>
          <w:sz w:val="18"/>
          <w:szCs w:val="18"/>
        </w:rPr>
      </w:pPr>
    </w:p>
    <w:p w:rsidR="003F6F29" w:rsidRDefault="003F6F29" w:rsidP="003F6F29">
      <w:pPr>
        <w:pStyle w:val="normalnumbered"/>
        <w:tabs>
          <w:tab w:val="clear" w:pos="2666"/>
        </w:tabs>
        <w:spacing w:line="264" w:lineRule="auto"/>
        <w:ind w:left="0" w:right="40" w:firstLine="0"/>
        <w:rPr>
          <w:sz w:val="18"/>
          <w:szCs w:val="18"/>
        </w:rPr>
      </w:pPr>
    </w:p>
    <w:p w:rsidR="003F6F29" w:rsidRDefault="003F6F29" w:rsidP="003F6F29">
      <w:pPr>
        <w:pStyle w:val="normalnumbered"/>
        <w:tabs>
          <w:tab w:val="clear" w:pos="2666"/>
        </w:tabs>
        <w:spacing w:line="264" w:lineRule="auto"/>
        <w:ind w:left="0" w:right="40" w:firstLine="0"/>
        <w:rPr>
          <w:sz w:val="18"/>
          <w:szCs w:val="18"/>
        </w:rPr>
      </w:pPr>
    </w:p>
    <w:p w:rsidR="003F6F29" w:rsidRPr="00C1350E" w:rsidRDefault="003F6F29" w:rsidP="003F6F29">
      <w:pPr>
        <w:pStyle w:val="normalnumbered"/>
        <w:tabs>
          <w:tab w:val="clear" w:pos="2666"/>
        </w:tabs>
        <w:spacing w:line="264" w:lineRule="auto"/>
        <w:ind w:left="0" w:right="40" w:firstLine="0"/>
        <w:rPr>
          <w:sz w:val="18"/>
          <w:szCs w:val="18"/>
        </w:rPr>
      </w:pPr>
    </w:p>
    <w:tbl>
      <w:tblPr>
        <w:tblStyle w:val="TableGrid"/>
        <w:tblW w:w="6345" w:type="dxa"/>
        <w:jc w:val="center"/>
        <w:tblLook w:val="04A0" w:firstRow="1" w:lastRow="0" w:firstColumn="1" w:lastColumn="0" w:noHBand="0" w:noVBand="1"/>
      </w:tblPr>
      <w:tblGrid>
        <w:gridCol w:w="3710"/>
        <w:gridCol w:w="1360"/>
        <w:gridCol w:w="1275"/>
      </w:tblGrid>
      <w:tr w:rsidR="00AA44E9" w:rsidRPr="006A6AE5" w:rsidTr="00DE5CBB">
        <w:trPr>
          <w:trHeight w:val="255"/>
          <w:jc w:val="center"/>
        </w:trPr>
        <w:tc>
          <w:tcPr>
            <w:tcW w:w="6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AA44E9" w:rsidRPr="006A6AE5" w:rsidRDefault="00AA44E9" w:rsidP="00C1350E">
            <w:pPr>
              <w:rPr>
                <w:rFonts w:ascii="Arial" w:hAnsi="Arial" w:cs="Arial"/>
                <w:b/>
                <w:sz w:val="18"/>
                <w:szCs w:val="18"/>
              </w:rPr>
            </w:pPr>
            <w:r w:rsidRPr="006A6AE5">
              <w:rPr>
                <w:rFonts w:ascii="Arial" w:hAnsi="Arial" w:cs="Arial"/>
                <w:b/>
                <w:sz w:val="18"/>
                <w:szCs w:val="18"/>
              </w:rPr>
              <w:lastRenderedPageBreak/>
              <w:t>Leisure, Travel and Tourism Apprenticeship Learner Starts by Provider 2013/14</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AC553E">
            <w:pPr>
              <w:jc w:val="right"/>
              <w:rPr>
                <w:rFonts w:ascii="Arial" w:hAnsi="Arial" w:cs="Arial"/>
                <w:b/>
                <w:color w:val="000000"/>
                <w:sz w:val="18"/>
                <w:szCs w:val="18"/>
              </w:rPr>
            </w:pPr>
            <w:r w:rsidRPr="006A6AE5">
              <w:rPr>
                <w:rFonts w:ascii="Arial" w:hAnsi="Arial" w:cs="Arial"/>
                <w:b/>
                <w:color w:val="000000"/>
                <w:sz w:val="18"/>
                <w:szCs w:val="18"/>
              </w:rPr>
              <w:t>No.</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AC553E">
            <w:pPr>
              <w:jc w:val="right"/>
              <w:rPr>
                <w:rFonts w:ascii="Arial" w:hAnsi="Arial" w:cs="Arial"/>
                <w:b/>
                <w:color w:val="000000"/>
                <w:sz w:val="18"/>
                <w:szCs w:val="18"/>
              </w:rPr>
            </w:pPr>
            <w:r w:rsidRPr="006A6AE5">
              <w:rPr>
                <w:rFonts w:ascii="Arial" w:hAnsi="Arial" w:cs="Arial"/>
                <w:b/>
                <w:color w:val="000000"/>
                <w:sz w:val="18"/>
                <w:szCs w:val="18"/>
              </w:rPr>
              <w:t>% of total starts</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Lifetime Training Group Limited</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70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19%</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Wigan Metropolitan Borough Council</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7%</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Progress To Excellence Ltd</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6%</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Burnley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6%</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Babcock Training Limited</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5%</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Icon Vocational Training Limited</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5%</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North Hertfordshire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5%</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Barnardo's</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4%</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Thomas Cook Group UK Limited</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20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4%</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color w:val="000000"/>
                <w:sz w:val="18"/>
                <w:szCs w:val="18"/>
              </w:rPr>
            </w:pPr>
            <w:r w:rsidRPr="006A6AE5">
              <w:rPr>
                <w:rFonts w:ascii="Arial" w:hAnsi="Arial" w:cs="Arial"/>
                <w:color w:val="000000"/>
                <w:sz w:val="18"/>
                <w:szCs w:val="18"/>
              </w:rPr>
              <w:t>Loughborough College</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10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color w:val="000000"/>
                <w:sz w:val="18"/>
                <w:szCs w:val="18"/>
              </w:rPr>
            </w:pPr>
            <w:r w:rsidRPr="006A6AE5">
              <w:rPr>
                <w:rFonts w:ascii="Arial" w:hAnsi="Arial" w:cs="Arial"/>
                <w:color w:val="000000"/>
                <w:sz w:val="18"/>
                <w:szCs w:val="18"/>
              </w:rPr>
              <w:t>3%</w:t>
            </w:r>
          </w:p>
        </w:tc>
      </w:tr>
      <w:tr w:rsidR="00AA44E9" w:rsidRPr="006A6AE5" w:rsidTr="00DE5CBB">
        <w:trPr>
          <w:trHeight w:val="255"/>
          <w:jc w:val="center"/>
        </w:trPr>
        <w:tc>
          <w:tcPr>
            <w:tcW w:w="3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b/>
                <w:color w:val="000000"/>
                <w:sz w:val="18"/>
                <w:szCs w:val="18"/>
              </w:rPr>
            </w:pPr>
            <w:r w:rsidRPr="006A6AE5">
              <w:rPr>
                <w:rFonts w:ascii="Arial" w:hAnsi="Arial" w:cs="Arial"/>
                <w:b/>
                <w:color w:val="000000"/>
                <w:sz w:val="18"/>
                <w:szCs w:val="18"/>
              </w:rPr>
              <w:t>Total Apprenticeship  Starts</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b/>
                <w:color w:val="000000"/>
                <w:sz w:val="18"/>
                <w:szCs w:val="18"/>
              </w:rPr>
            </w:pPr>
            <w:r w:rsidRPr="006A6AE5">
              <w:rPr>
                <w:rFonts w:ascii="Arial" w:hAnsi="Arial" w:cs="Arial"/>
                <w:b/>
                <w:color w:val="000000"/>
                <w:sz w:val="18"/>
                <w:szCs w:val="18"/>
              </w:rPr>
              <w:t>360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jc w:val="right"/>
              <w:rPr>
                <w:rFonts w:ascii="Arial" w:hAnsi="Arial" w:cs="Arial"/>
                <w:b/>
                <w:color w:val="000000"/>
                <w:sz w:val="18"/>
                <w:szCs w:val="18"/>
              </w:rPr>
            </w:pPr>
            <w:r w:rsidRPr="006A6AE5">
              <w:rPr>
                <w:rFonts w:ascii="Arial" w:hAnsi="Arial" w:cs="Arial"/>
                <w:b/>
                <w:color w:val="000000"/>
                <w:sz w:val="18"/>
                <w:szCs w:val="18"/>
              </w:rPr>
              <w:t>100%</w:t>
            </w:r>
          </w:p>
        </w:tc>
      </w:tr>
      <w:tr w:rsidR="00AA44E9" w:rsidRPr="006A6AE5" w:rsidTr="00DE5CBB">
        <w:trPr>
          <w:trHeight w:val="242"/>
          <w:jc w:val="center"/>
        </w:trPr>
        <w:tc>
          <w:tcPr>
            <w:tcW w:w="6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A44E9" w:rsidRPr="006A6AE5" w:rsidRDefault="00AA44E9" w:rsidP="00D3608D">
            <w:pPr>
              <w:rPr>
                <w:rFonts w:ascii="Arial" w:hAnsi="Arial" w:cs="Arial"/>
                <w:sz w:val="18"/>
                <w:szCs w:val="18"/>
              </w:rPr>
            </w:pPr>
            <w:r w:rsidRPr="006A6AE5">
              <w:rPr>
                <w:rFonts w:ascii="Arial" w:hAnsi="Arial" w:cs="Arial"/>
                <w:sz w:val="18"/>
                <w:szCs w:val="18"/>
              </w:rPr>
              <w:t>Source: Data Cube</w:t>
            </w:r>
          </w:p>
        </w:tc>
      </w:tr>
    </w:tbl>
    <w:p w:rsidR="00E52887" w:rsidRPr="00E52887" w:rsidRDefault="00E52887" w:rsidP="0059679C">
      <w:pPr>
        <w:pStyle w:val="normalnumbered"/>
        <w:tabs>
          <w:tab w:val="clear" w:pos="2666"/>
        </w:tabs>
        <w:spacing w:line="264" w:lineRule="auto"/>
        <w:ind w:left="0" w:right="40" w:firstLine="0"/>
        <w:rPr>
          <w:rFonts w:cs="Arial"/>
          <w:b/>
          <w:color w:val="660066"/>
          <w:sz w:val="2"/>
          <w:szCs w:val="2"/>
        </w:rPr>
      </w:pPr>
    </w:p>
    <w:p w:rsidR="0059679C" w:rsidRPr="00E52887" w:rsidRDefault="0059679C" w:rsidP="0059679C">
      <w:pPr>
        <w:pStyle w:val="normalnumbered"/>
        <w:tabs>
          <w:tab w:val="clear" w:pos="2666"/>
        </w:tabs>
        <w:spacing w:line="264" w:lineRule="auto"/>
        <w:ind w:left="0" w:right="40" w:firstLine="0"/>
        <w:rPr>
          <w:rFonts w:cs="Arial"/>
          <w:b/>
          <w:i/>
          <w:color w:val="660066"/>
          <w:szCs w:val="20"/>
        </w:rPr>
      </w:pPr>
      <w:r w:rsidRPr="00E52887">
        <w:rPr>
          <w:rFonts w:cs="Arial"/>
          <w:b/>
          <w:i/>
          <w:color w:val="660066"/>
          <w:szCs w:val="20"/>
        </w:rPr>
        <w:t xml:space="preserve">Achievements and Success Rates  </w:t>
      </w:r>
    </w:p>
    <w:p w:rsidR="0036124B" w:rsidRDefault="0059679C" w:rsidP="0059679C">
      <w:pPr>
        <w:pStyle w:val="normalnumbered"/>
        <w:numPr>
          <w:ilvl w:val="1"/>
          <w:numId w:val="1"/>
        </w:numPr>
        <w:tabs>
          <w:tab w:val="clear" w:pos="2666"/>
          <w:tab w:val="num" w:pos="709"/>
        </w:tabs>
        <w:spacing w:line="264" w:lineRule="auto"/>
        <w:ind w:left="0" w:right="40" w:firstLine="0"/>
        <w:rPr>
          <w:sz w:val="18"/>
          <w:szCs w:val="18"/>
        </w:rPr>
      </w:pPr>
      <w:r>
        <w:rPr>
          <w:sz w:val="18"/>
          <w:szCs w:val="18"/>
        </w:rPr>
        <w:t>There were 500 Leisure, Travel and Tourism apprenticeship achievements in Lancashire in 2012/13 and 27</w:t>
      </w:r>
      <w:r w:rsidR="00DE5CBB">
        <w:rPr>
          <w:sz w:val="18"/>
          <w:szCs w:val="18"/>
        </w:rPr>
        <w:t>0 in 2013/14, although as with ‘education and t</w:t>
      </w:r>
      <w:r>
        <w:rPr>
          <w:sz w:val="18"/>
          <w:szCs w:val="18"/>
        </w:rPr>
        <w:t>raining</w:t>
      </w:r>
      <w:r w:rsidR="00DE5CBB">
        <w:rPr>
          <w:sz w:val="18"/>
          <w:szCs w:val="18"/>
        </w:rPr>
        <w:t>’</w:t>
      </w:r>
      <w:r>
        <w:rPr>
          <w:sz w:val="18"/>
          <w:szCs w:val="18"/>
        </w:rPr>
        <w:t>, more insight can be gleaned from success rate data</w:t>
      </w:r>
      <w:r w:rsidR="002D20BE">
        <w:rPr>
          <w:rStyle w:val="FootnoteReference"/>
          <w:sz w:val="18"/>
          <w:szCs w:val="18"/>
        </w:rPr>
        <w:footnoteReference w:id="52"/>
      </w:r>
      <w:r>
        <w:rPr>
          <w:sz w:val="18"/>
          <w:szCs w:val="18"/>
        </w:rPr>
        <w:t xml:space="preserve">.  This is shown </w:t>
      </w:r>
      <w:r w:rsidR="00FE28FE">
        <w:rPr>
          <w:sz w:val="18"/>
          <w:szCs w:val="18"/>
        </w:rPr>
        <w:t>below</w:t>
      </w:r>
      <w:r>
        <w:rPr>
          <w:sz w:val="18"/>
          <w:szCs w:val="18"/>
        </w:rPr>
        <w:t xml:space="preserve"> for the </w:t>
      </w:r>
      <w:r w:rsidRPr="0059679C">
        <w:rPr>
          <w:sz w:val="18"/>
          <w:szCs w:val="18"/>
        </w:rPr>
        <w:t xml:space="preserve">10 providers with the highest number of </w:t>
      </w:r>
      <w:r>
        <w:rPr>
          <w:sz w:val="18"/>
          <w:szCs w:val="18"/>
        </w:rPr>
        <w:t xml:space="preserve">apprenticeship </w:t>
      </w:r>
      <w:r w:rsidRPr="0059679C">
        <w:rPr>
          <w:sz w:val="18"/>
          <w:szCs w:val="18"/>
        </w:rPr>
        <w:t>achievements in Lancashire</w:t>
      </w:r>
      <w:r>
        <w:rPr>
          <w:sz w:val="18"/>
          <w:szCs w:val="18"/>
        </w:rPr>
        <w:t xml:space="preserve"> in 2013/14.  There is a much larger spread of success rates amongst these providers than in the equivalent table for Education and Training – almost 28 percentage points between the provider with the highest success rate and th</w:t>
      </w:r>
      <w:r w:rsidR="0036124B">
        <w:rPr>
          <w:sz w:val="18"/>
          <w:szCs w:val="18"/>
        </w:rPr>
        <w:t xml:space="preserve">e provider </w:t>
      </w:r>
      <w:r>
        <w:rPr>
          <w:sz w:val="18"/>
          <w:szCs w:val="18"/>
        </w:rPr>
        <w:t>with the lowest.  Those providers in italics are headquartered outside the Lancashire LEP area.</w:t>
      </w:r>
    </w:p>
    <w:p w:rsidR="003F6F29" w:rsidRDefault="003F6F29" w:rsidP="003F6F29">
      <w:pPr>
        <w:pStyle w:val="normalnumbered"/>
        <w:tabs>
          <w:tab w:val="clear" w:pos="2666"/>
        </w:tabs>
        <w:spacing w:line="264" w:lineRule="auto"/>
        <w:ind w:left="0" w:right="40" w:firstLine="0"/>
        <w:rPr>
          <w:sz w:val="18"/>
          <w:szCs w:val="18"/>
        </w:rPr>
      </w:pPr>
    </w:p>
    <w:p w:rsidR="003F6F29" w:rsidRDefault="003F6F29" w:rsidP="003F6F29">
      <w:pPr>
        <w:pStyle w:val="normalnumbered"/>
        <w:tabs>
          <w:tab w:val="clear" w:pos="2666"/>
        </w:tabs>
        <w:spacing w:line="264" w:lineRule="auto"/>
        <w:ind w:left="0" w:right="40" w:firstLine="0"/>
        <w:rPr>
          <w:sz w:val="18"/>
          <w:szCs w:val="18"/>
        </w:rPr>
      </w:pPr>
    </w:p>
    <w:tbl>
      <w:tblPr>
        <w:tblStyle w:val="TableGrid"/>
        <w:tblW w:w="6127" w:type="dxa"/>
        <w:jc w:val="center"/>
        <w:tblLook w:val="04A0" w:firstRow="1" w:lastRow="0" w:firstColumn="1" w:lastColumn="0" w:noHBand="0" w:noVBand="1"/>
      </w:tblPr>
      <w:tblGrid>
        <w:gridCol w:w="4284"/>
        <w:gridCol w:w="1843"/>
      </w:tblGrid>
      <w:tr w:rsidR="0059679C" w:rsidRPr="002B184F" w:rsidTr="00DE5CBB">
        <w:trPr>
          <w:trHeight w:val="25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60066"/>
          </w:tcPr>
          <w:p w:rsidR="0059679C" w:rsidRPr="0036124B" w:rsidRDefault="0059679C" w:rsidP="00924146">
            <w:pPr>
              <w:rPr>
                <w:rFonts w:ascii="Arial" w:hAnsi="Arial" w:cs="Arial"/>
                <w:b/>
                <w:sz w:val="18"/>
                <w:szCs w:val="18"/>
              </w:rPr>
            </w:pPr>
            <w:r w:rsidRPr="0036124B">
              <w:rPr>
                <w:rFonts w:ascii="Arial" w:hAnsi="Arial" w:cs="Arial"/>
                <w:b/>
                <w:sz w:val="18"/>
                <w:szCs w:val="18"/>
              </w:rPr>
              <w:lastRenderedPageBreak/>
              <w:t xml:space="preserve">Leisure, Travel and Tourism </w:t>
            </w:r>
            <w:r w:rsidR="0036124B">
              <w:rPr>
                <w:rFonts w:ascii="Arial" w:hAnsi="Arial" w:cs="Arial"/>
                <w:b/>
                <w:sz w:val="18"/>
                <w:szCs w:val="18"/>
              </w:rPr>
              <w:t xml:space="preserve">Apprenticeship </w:t>
            </w:r>
            <w:r w:rsidRPr="0036124B">
              <w:rPr>
                <w:rFonts w:ascii="Arial" w:hAnsi="Arial" w:cs="Arial"/>
                <w:b/>
                <w:sz w:val="18"/>
                <w:szCs w:val="18"/>
              </w:rPr>
              <w:t>Success Rates by Provider 2013/14</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679C" w:rsidRPr="0036124B" w:rsidRDefault="0059679C" w:rsidP="00924146">
            <w:pPr>
              <w:rPr>
                <w:rFonts w:ascii="Arial" w:hAnsi="Arial" w:cs="Arial"/>
                <w:color w:val="000000"/>
                <w:sz w:val="18"/>
                <w:szCs w:val="18"/>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679C" w:rsidRPr="0036124B" w:rsidRDefault="0059679C" w:rsidP="00AA44E9">
            <w:pPr>
              <w:jc w:val="right"/>
              <w:rPr>
                <w:rFonts w:ascii="Arial" w:hAnsi="Arial" w:cs="Arial"/>
                <w:b/>
                <w:color w:val="000000"/>
                <w:sz w:val="18"/>
                <w:szCs w:val="18"/>
              </w:rPr>
            </w:pPr>
            <w:r w:rsidRPr="0036124B">
              <w:rPr>
                <w:rFonts w:ascii="Arial" w:hAnsi="Arial" w:cs="Arial"/>
                <w:b/>
                <w:color w:val="000000"/>
                <w:sz w:val="18"/>
                <w:szCs w:val="18"/>
              </w:rPr>
              <w:t>Success Rate (%)</w:t>
            </w:r>
          </w:p>
        </w:tc>
      </w:tr>
      <w:tr w:rsidR="0059679C" w:rsidRPr="00F44283"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rPr>
                <w:rFonts w:ascii="Arial" w:hAnsi="Arial" w:cs="Arial"/>
                <w:color w:val="000000"/>
                <w:sz w:val="18"/>
                <w:szCs w:val="18"/>
              </w:rPr>
            </w:pPr>
            <w:r w:rsidRPr="0036124B">
              <w:rPr>
                <w:rFonts w:ascii="Arial" w:hAnsi="Arial" w:cs="Arial"/>
                <w:color w:val="000000"/>
                <w:sz w:val="18"/>
                <w:szCs w:val="18"/>
              </w:rPr>
              <w:t>League Football Education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jc w:val="right"/>
              <w:rPr>
                <w:rFonts w:ascii="Arial" w:hAnsi="Arial" w:cs="Arial"/>
                <w:sz w:val="18"/>
                <w:szCs w:val="18"/>
              </w:rPr>
            </w:pPr>
            <w:r w:rsidRPr="0036124B">
              <w:rPr>
                <w:rFonts w:ascii="Arial" w:hAnsi="Arial" w:cs="Arial"/>
                <w:sz w:val="18"/>
                <w:szCs w:val="18"/>
              </w:rPr>
              <w:t>92.1</w:t>
            </w:r>
            <w:r w:rsidR="00823CF9">
              <w:rPr>
                <w:rFonts w:ascii="Arial" w:hAnsi="Arial" w:cs="Arial"/>
                <w:sz w:val="18"/>
                <w:szCs w:val="18"/>
              </w:rPr>
              <w:t>%</w:t>
            </w:r>
            <w:r w:rsidRPr="0036124B">
              <w:rPr>
                <w:rFonts w:ascii="Arial" w:hAnsi="Arial" w:cs="Arial"/>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rPr>
                <w:rFonts w:ascii="Arial" w:hAnsi="Arial" w:cs="Arial"/>
                <w:color w:val="000000"/>
                <w:sz w:val="18"/>
                <w:szCs w:val="18"/>
              </w:rPr>
            </w:pPr>
            <w:r w:rsidRPr="0036124B">
              <w:rPr>
                <w:rFonts w:ascii="Arial" w:hAnsi="Arial" w:cs="Arial"/>
                <w:color w:val="000000"/>
                <w:sz w:val="18"/>
                <w:szCs w:val="18"/>
              </w:rPr>
              <w:t>Blackburn College</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jc w:val="right"/>
              <w:rPr>
                <w:rFonts w:ascii="Arial" w:hAnsi="Arial" w:cs="Arial"/>
                <w:sz w:val="18"/>
                <w:szCs w:val="18"/>
              </w:rPr>
            </w:pPr>
            <w:r w:rsidRPr="0036124B">
              <w:rPr>
                <w:rFonts w:ascii="Arial" w:hAnsi="Arial" w:cs="Arial"/>
                <w:sz w:val="18"/>
                <w:szCs w:val="18"/>
              </w:rPr>
              <w:t>91.3</w:t>
            </w:r>
            <w:r w:rsidR="00823CF9">
              <w:rPr>
                <w:rFonts w:ascii="Arial" w:hAnsi="Arial" w:cs="Arial"/>
                <w:sz w:val="18"/>
                <w:szCs w:val="18"/>
              </w:rPr>
              <w:t>%</w:t>
            </w:r>
            <w:r w:rsidRPr="0036124B">
              <w:rPr>
                <w:rFonts w:ascii="Arial" w:hAnsi="Arial" w:cs="Arial"/>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rPr>
                <w:rFonts w:ascii="Arial" w:hAnsi="Arial" w:cs="Arial"/>
                <w:i/>
                <w:color w:val="000000"/>
                <w:sz w:val="18"/>
                <w:szCs w:val="18"/>
              </w:rPr>
            </w:pPr>
            <w:r w:rsidRPr="0036124B">
              <w:rPr>
                <w:rFonts w:ascii="Arial" w:hAnsi="Arial" w:cs="Arial"/>
                <w:i/>
                <w:color w:val="000000"/>
                <w:sz w:val="18"/>
                <w:szCs w:val="18"/>
              </w:rPr>
              <w:t>Kingston Maurward College</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jc w:val="right"/>
              <w:rPr>
                <w:rFonts w:ascii="Arial" w:hAnsi="Arial" w:cs="Arial"/>
                <w:i/>
                <w:sz w:val="18"/>
                <w:szCs w:val="18"/>
              </w:rPr>
            </w:pPr>
            <w:r w:rsidRPr="0036124B">
              <w:rPr>
                <w:rFonts w:ascii="Arial" w:hAnsi="Arial" w:cs="Arial"/>
                <w:i/>
                <w:sz w:val="18"/>
                <w:szCs w:val="18"/>
              </w:rPr>
              <w:t>89.8</w:t>
            </w:r>
            <w:r w:rsidR="00823CF9">
              <w:rPr>
                <w:rFonts w:ascii="Arial" w:hAnsi="Arial" w:cs="Arial"/>
                <w:i/>
                <w:sz w:val="18"/>
                <w:szCs w:val="18"/>
              </w:rPr>
              <w:t>%</w:t>
            </w:r>
            <w:r w:rsidRPr="0036124B">
              <w:rPr>
                <w:rFonts w:ascii="Arial" w:hAnsi="Arial" w:cs="Arial"/>
                <w:i/>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rPr>
                <w:rFonts w:ascii="Arial" w:hAnsi="Arial" w:cs="Arial"/>
                <w:color w:val="000000"/>
                <w:sz w:val="18"/>
                <w:szCs w:val="18"/>
              </w:rPr>
            </w:pPr>
            <w:r w:rsidRPr="0036124B">
              <w:rPr>
                <w:rFonts w:ascii="Arial" w:hAnsi="Arial" w:cs="Arial"/>
                <w:color w:val="000000"/>
                <w:sz w:val="18"/>
                <w:szCs w:val="18"/>
              </w:rPr>
              <w:t>Burnley College</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jc w:val="right"/>
              <w:rPr>
                <w:rFonts w:ascii="Arial" w:hAnsi="Arial" w:cs="Arial"/>
                <w:sz w:val="18"/>
                <w:szCs w:val="18"/>
              </w:rPr>
            </w:pPr>
            <w:r w:rsidRPr="0036124B">
              <w:rPr>
                <w:rFonts w:ascii="Arial" w:hAnsi="Arial" w:cs="Arial"/>
                <w:sz w:val="18"/>
                <w:szCs w:val="18"/>
              </w:rPr>
              <w:t>87.5</w:t>
            </w:r>
            <w:r w:rsidR="00823CF9">
              <w:rPr>
                <w:rFonts w:ascii="Arial" w:hAnsi="Arial" w:cs="Arial"/>
                <w:sz w:val="18"/>
                <w:szCs w:val="18"/>
              </w:rPr>
              <w:t>%</w:t>
            </w:r>
            <w:r w:rsidRPr="0036124B">
              <w:rPr>
                <w:rFonts w:ascii="Arial" w:hAnsi="Arial" w:cs="Arial"/>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rPr>
                <w:rFonts w:ascii="Arial" w:hAnsi="Arial" w:cs="Arial"/>
                <w:i/>
                <w:color w:val="000000"/>
                <w:sz w:val="18"/>
                <w:szCs w:val="18"/>
              </w:rPr>
            </w:pPr>
            <w:r w:rsidRPr="0036124B">
              <w:rPr>
                <w:rFonts w:ascii="Arial" w:hAnsi="Arial" w:cs="Arial"/>
                <w:i/>
                <w:color w:val="000000"/>
                <w:sz w:val="18"/>
                <w:szCs w:val="18"/>
              </w:rPr>
              <w:t>Thomas Cook Group UK Limited</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jc w:val="right"/>
              <w:rPr>
                <w:rFonts w:ascii="Arial" w:hAnsi="Arial" w:cs="Arial"/>
                <w:i/>
                <w:sz w:val="18"/>
                <w:szCs w:val="18"/>
              </w:rPr>
            </w:pPr>
            <w:r w:rsidRPr="0036124B">
              <w:rPr>
                <w:rFonts w:ascii="Arial" w:hAnsi="Arial" w:cs="Arial"/>
                <w:i/>
                <w:sz w:val="18"/>
                <w:szCs w:val="18"/>
              </w:rPr>
              <w:t>86.9</w:t>
            </w:r>
            <w:r w:rsidR="00823CF9">
              <w:rPr>
                <w:rFonts w:ascii="Arial" w:hAnsi="Arial" w:cs="Arial"/>
                <w:i/>
                <w:sz w:val="18"/>
                <w:szCs w:val="18"/>
              </w:rPr>
              <w:t>%</w:t>
            </w:r>
            <w:r w:rsidRPr="0036124B">
              <w:rPr>
                <w:rFonts w:ascii="Arial" w:hAnsi="Arial" w:cs="Arial"/>
                <w:i/>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rPr>
                <w:rFonts w:ascii="Arial" w:hAnsi="Arial" w:cs="Arial"/>
                <w:i/>
                <w:color w:val="000000"/>
                <w:sz w:val="18"/>
                <w:szCs w:val="18"/>
              </w:rPr>
            </w:pPr>
            <w:r w:rsidRPr="0036124B">
              <w:rPr>
                <w:rFonts w:ascii="Arial" w:hAnsi="Arial" w:cs="Arial"/>
                <w:i/>
                <w:color w:val="000000"/>
                <w:sz w:val="18"/>
                <w:szCs w:val="18"/>
              </w:rPr>
              <w:t>Lifetime Training Group Limited</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924146">
            <w:pPr>
              <w:jc w:val="right"/>
              <w:rPr>
                <w:rFonts w:ascii="Arial" w:hAnsi="Arial" w:cs="Arial"/>
                <w:i/>
                <w:sz w:val="18"/>
                <w:szCs w:val="18"/>
              </w:rPr>
            </w:pPr>
            <w:r w:rsidRPr="0036124B">
              <w:rPr>
                <w:rFonts w:ascii="Arial" w:hAnsi="Arial" w:cs="Arial"/>
                <w:i/>
                <w:sz w:val="18"/>
                <w:szCs w:val="18"/>
              </w:rPr>
              <w:t>75.1</w:t>
            </w:r>
            <w:r w:rsidR="00823CF9">
              <w:rPr>
                <w:rFonts w:ascii="Arial" w:hAnsi="Arial" w:cs="Arial"/>
                <w:i/>
                <w:sz w:val="18"/>
                <w:szCs w:val="18"/>
              </w:rPr>
              <w:t>%</w:t>
            </w:r>
            <w:r w:rsidRPr="0036124B">
              <w:rPr>
                <w:rFonts w:ascii="Arial" w:hAnsi="Arial" w:cs="Arial"/>
                <w:i/>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rPr>
                <w:rFonts w:ascii="Arial" w:hAnsi="Arial" w:cs="Arial"/>
                <w:i/>
                <w:color w:val="000000"/>
                <w:sz w:val="18"/>
                <w:szCs w:val="18"/>
              </w:rPr>
            </w:pPr>
            <w:r w:rsidRPr="0036124B">
              <w:rPr>
                <w:rFonts w:ascii="Arial" w:hAnsi="Arial" w:cs="Arial"/>
                <w:i/>
                <w:color w:val="000000"/>
                <w:sz w:val="18"/>
                <w:szCs w:val="18"/>
              </w:rPr>
              <w:t>Cambridge Regional College</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jc w:val="right"/>
              <w:rPr>
                <w:rFonts w:ascii="Arial" w:hAnsi="Arial" w:cs="Arial"/>
                <w:i/>
                <w:sz w:val="18"/>
                <w:szCs w:val="18"/>
              </w:rPr>
            </w:pPr>
            <w:r w:rsidRPr="0036124B">
              <w:rPr>
                <w:rFonts w:ascii="Arial" w:hAnsi="Arial" w:cs="Arial"/>
                <w:i/>
                <w:sz w:val="18"/>
                <w:szCs w:val="18"/>
              </w:rPr>
              <w:t>74.0</w:t>
            </w:r>
            <w:r w:rsidR="00823CF9">
              <w:rPr>
                <w:rFonts w:ascii="Arial" w:hAnsi="Arial" w:cs="Arial"/>
                <w:i/>
                <w:sz w:val="18"/>
                <w:szCs w:val="18"/>
              </w:rPr>
              <w:t>%</w:t>
            </w:r>
            <w:r w:rsidRPr="0036124B">
              <w:rPr>
                <w:rFonts w:ascii="Arial" w:hAnsi="Arial" w:cs="Arial"/>
                <w:i/>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rPr>
                <w:rFonts w:ascii="Arial" w:hAnsi="Arial" w:cs="Arial"/>
                <w:i/>
                <w:color w:val="000000"/>
                <w:sz w:val="18"/>
                <w:szCs w:val="18"/>
              </w:rPr>
            </w:pPr>
            <w:r w:rsidRPr="0036124B">
              <w:rPr>
                <w:rFonts w:ascii="Arial" w:hAnsi="Arial" w:cs="Arial"/>
                <w:i/>
                <w:color w:val="000000"/>
                <w:sz w:val="18"/>
                <w:szCs w:val="18"/>
              </w:rPr>
              <w:t>Babcock Training Limited</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jc w:val="right"/>
              <w:rPr>
                <w:rFonts w:ascii="Arial" w:hAnsi="Arial" w:cs="Arial"/>
                <w:i/>
                <w:sz w:val="18"/>
                <w:szCs w:val="18"/>
              </w:rPr>
            </w:pPr>
            <w:r w:rsidRPr="0036124B">
              <w:rPr>
                <w:rFonts w:ascii="Arial" w:hAnsi="Arial" w:cs="Arial"/>
                <w:i/>
                <w:sz w:val="18"/>
                <w:szCs w:val="18"/>
              </w:rPr>
              <w:t>73.2</w:t>
            </w:r>
            <w:r w:rsidR="00823CF9">
              <w:rPr>
                <w:rFonts w:ascii="Arial" w:hAnsi="Arial" w:cs="Arial"/>
                <w:i/>
                <w:sz w:val="18"/>
                <w:szCs w:val="18"/>
              </w:rPr>
              <w:t>%</w:t>
            </w:r>
            <w:r w:rsidRPr="0036124B">
              <w:rPr>
                <w:rFonts w:ascii="Arial" w:hAnsi="Arial" w:cs="Arial"/>
                <w:i/>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rPr>
                <w:rFonts w:ascii="Arial" w:hAnsi="Arial" w:cs="Arial"/>
                <w:i/>
                <w:color w:val="000000"/>
                <w:sz w:val="18"/>
                <w:szCs w:val="18"/>
              </w:rPr>
            </w:pPr>
            <w:r w:rsidRPr="0036124B">
              <w:rPr>
                <w:rFonts w:ascii="Arial" w:hAnsi="Arial" w:cs="Arial"/>
                <w:i/>
                <w:color w:val="000000"/>
                <w:sz w:val="18"/>
                <w:szCs w:val="18"/>
              </w:rPr>
              <w:t>Icon Vocational Training Limited</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jc w:val="right"/>
              <w:rPr>
                <w:rFonts w:ascii="Arial" w:hAnsi="Arial" w:cs="Arial"/>
                <w:i/>
                <w:sz w:val="18"/>
                <w:szCs w:val="18"/>
              </w:rPr>
            </w:pPr>
            <w:r w:rsidRPr="0036124B">
              <w:rPr>
                <w:rFonts w:ascii="Arial" w:hAnsi="Arial" w:cs="Arial"/>
                <w:i/>
                <w:sz w:val="18"/>
                <w:szCs w:val="18"/>
              </w:rPr>
              <w:t>71.5</w:t>
            </w:r>
            <w:r w:rsidR="00823CF9">
              <w:rPr>
                <w:rFonts w:ascii="Arial" w:hAnsi="Arial" w:cs="Arial"/>
                <w:i/>
                <w:sz w:val="18"/>
                <w:szCs w:val="18"/>
              </w:rPr>
              <w:t>%</w:t>
            </w:r>
            <w:r w:rsidRPr="0036124B">
              <w:rPr>
                <w:rFonts w:ascii="Arial" w:hAnsi="Arial" w:cs="Arial"/>
                <w:i/>
                <w:sz w:val="18"/>
                <w:szCs w:val="18"/>
              </w:rPr>
              <w:t xml:space="preserve"> </w:t>
            </w:r>
          </w:p>
        </w:tc>
      </w:tr>
      <w:tr w:rsidR="0059679C" w:rsidRPr="002B184F" w:rsidTr="00DE5CBB">
        <w:trPr>
          <w:trHeight w:val="255"/>
          <w:jc w:val="center"/>
        </w:trPr>
        <w:tc>
          <w:tcPr>
            <w:tcW w:w="4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rPr>
                <w:rFonts w:ascii="Arial" w:hAnsi="Arial" w:cs="Arial"/>
                <w:i/>
                <w:color w:val="000000"/>
                <w:sz w:val="18"/>
                <w:szCs w:val="18"/>
              </w:rPr>
            </w:pPr>
            <w:r w:rsidRPr="0036124B">
              <w:rPr>
                <w:rFonts w:ascii="Arial" w:hAnsi="Arial" w:cs="Arial"/>
                <w:i/>
                <w:color w:val="000000"/>
                <w:sz w:val="18"/>
                <w:szCs w:val="18"/>
              </w:rPr>
              <w:t>Weston College Of Further And Higher Education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924146">
            <w:pPr>
              <w:jc w:val="right"/>
              <w:rPr>
                <w:rFonts w:ascii="Arial" w:hAnsi="Arial" w:cs="Arial"/>
                <w:i/>
                <w:sz w:val="18"/>
                <w:szCs w:val="18"/>
              </w:rPr>
            </w:pPr>
            <w:r w:rsidRPr="0036124B">
              <w:rPr>
                <w:rFonts w:ascii="Arial" w:hAnsi="Arial" w:cs="Arial"/>
                <w:i/>
                <w:sz w:val="18"/>
                <w:szCs w:val="18"/>
              </w:rPr>
              <w:t>64.5</w:t>
            </w:r>
            <w:r w:rsidR="00823CF9">
              <w:rPr>
                <w:rFonts w:ascii="Arial" w:hAnsi="Arial" w:cs="Arial"/>
                <w:i/>
                <w:sz w:val="18"/>
                <w:szCs w:val="18"/>
              </w:rPr>
              <w:t>%</w:t>
            </w:r>
            <w:r w:rsidRPr="0036124B">
              <w:rPr>
                <w:rFonts w:ascii="Arial" w:hAnsi="Arial" w:cs="Arial"/>
                <w:i/>
                <w:sz w:val="18"/>
                <w:szCs w:val="18"/>
              </w:rPr>
              <w:t xml:space="preserve"> </w:t>
            </w:r>
          </w:p>
        </w:tc>
      </w:tr>
      <w:tr w:rsidR="0059679C" w:rsidRPr="002B184F" w:rsidTr="00DE5CBB">
        <w:trPr>
          <w:trHeight w:val="12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9679C" w:rsidRPr="0036124B" w:rsidRDefault="0059679C" w:rsidP="00924146">
            <w:pPr>
              <w:rPr>
                <w:rFonts w:ascii="Arial" w:hAnsi="Arial" w:cs="Arial"/>
                <w:sz w:val="18"/>
                <w:szCs w:val="18"/>
              </w:rPr>
            </w:pPr>
            <w:r w:rsidRPr="0036124B">
              <w:rPr>
                <w:rFonts w:ascii="Arial" w:hAnsi="Arial" w:cs="Arial"/>
                <w:sz w:val="18"/>
                <w:szCs w:val="18"/>
              </w:rPr>
              <w:t>Source: SFA</w:t>
            </w:r>
          </w:p>
          <w:p w:rsidR="0059679C" w:rsidRPr="0036124B" w:rsidRDefault="0059679C" w:rsidP="003F6F29">
            <w:pPr>
              <w:rPr>
                <w:rFonts w:ascii="Arial" w:hAnsi="Arial" w:cs="Arial"/>
                <w:sz w:val="18"/>
                <w:szCs w:val="18"/>
              </w:rPr>
            </w:pPr>
            <w:r w:rsidRPr="0036124B">
              <w:rPr>
                <w:rFonts w:ascii="Arial" w:hAnsi="Arial" w:cs="Arial"/>
                <w:sz w:val="18"/>
                <w:szCs w:val="18"/>
              </w:rPr>
              <w:t>Note: Table presents data on providers with highest number of achievements in Lancashire.</w:t>
            </w:r>
          </w:p>
        </w:tc>
      </w:tr>
      <w:tr w:rsidR="0059679C" w:rsidRPr="002B184F" w:rsidTr="00DE5CBB">
        <w:trPr>
          <w:trHeight w:val="12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vAlign w:val="center"/>
          </w:tcPr>
          <w:p w:rsidR="0059679C" w:rsidRPr="0036124B" w:rsidRDefault="0059679C" w:rsidP="0059679C">
            <w:pPr>
              <w:rPr>
                <w:rFonts w:ascii="Arial" w:hAnsi="Arial" w:cs="Arial"/>
                <w:sz w:val="18"/>
                <w:szCs w:val="18"/>
              </w:rPr>
            </w:pPr>
            <w:r w:rsidRPr="0036124B">
              <w:rPr>
                <w:rFonts w:ascii="Arial" w:hAnsi="Arial" w:cs="Arial"/>
                <w:sz w:val="18"/>
                <w:szCs w:val="18"/>
              </w:rPr>
              <w:t>On or Above the national success rate in Leisure, Travel and Tourism (71.5%)</w:t>
            </w:r>
          </w:p>
        </w:tc>
      </w:tr>
      <w:tr w:rsidR="0059679C" w:rsidRPr="002B184F" w:rsidTr="00DE5CBB">
        <w:trPr>
          <w:trHeight w:val="125"/>
          <w:jc w:val="center"/>
        </w:trPr>
        <w:tc>
          <w:tcPr>
            <w:tcW w:w="61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B8B7" w:themeFill="accent2" w:themeFillTint="66"/>
            <w:vAlign w:val="center"/>
          </w:tcPr>
          <w:p w:rsidR="0059679C" w:rsidRPr="0036124B" w:rsidRDefault="0059679C" w:rsidP="0059679C">
            <w:pPr>
              <w:rPr>
                <w:rFonts w:ascii="Arial" w:hAnsi="Arial" w:cs="Arial"/>
                <w:sz w:val="18"/>
                <w:szCs w:val="18"/>
              </w:rPr>
            </w:pPr>
            <w:r w:rsidRPr="0036124B">
              <w:rPr>
                <w:rFonts w:ascii="Arial" w:hAnsi="Arial" w:cs="Arial"/>
                <w:sz w:val="18"/>
                <w:szCs w:val="18"/>
              </w:rPr>
              <w:t>Below the national success rate in Leisure, Travel and Tourism (71.5%)</w:t>
            </w:r>
          </w:p>
        </w:tc>
      </w:tr>
    </w:tbl>
    <w:p w:rsidR="0059679C" w:rsidRPr="00FB57BE" w:rsidRDefault="0059679C" w:rsidP="0059679C">
      <w:pPr>
        <w:keepNext/>
        <w:spacing w:before="360"/>
        <w:ind w:right="1627"/>
        <w:outlineLvl w:val="1"/>
        <w:rPr>
          <w:rFonts w:ascii="Arial" w:hAnsi="Arial" w:cs="Arial"/>
          <w:b/>
          <w:bCs/>
          <w:iCs/>
          <w:color w:val="660066"/>
          <w:sz w:val="22"/>
          <w:szCs w:val="22"/>
        </w:rPr>
      </w:pPr>
      <w:bookmarkStart w:id="108" w:name="_Toc422400111"/>
      <w:bookmarkStart w:id="109" w:name="_Toc422907649"/>
      <w:bookmarkStart w:id="110" w:name="_Toc424128482"/>
      <w:r>
        <w:rPr>
          <w:rFonts w:ascii="Arial" w:hAnsi="Arial" w:cs="Arial"/>
          <w:b/>
          <w:bCs/>
          <w:iCs/>
          <w:color w:val="660066"/>
          <w:sz w:val="22"/>
          <w:szCs w:val="22"/>
        </w:rPr>
        <w:t>Higher Education</w:t>
      </w:r>
      <w:bookmarkEnd w:id="108"/>
      <w:bookmarkEnd w:id="109"/>
      <w:r w:rsidR="007926B9">
        <w:rPr>
          <w:rFonts w:ascii="Arial" w:hAnsi="Arial" w:cs="Arial"/>
          <w:b/>
          <w:bCs/>
          <w:iCs/>
          <w:color w:val="660066"/>
          <w:sz w:val="22"/>
          <w:szCs w:val="22"/>
        </w:rPr>
        <w:t xml:space="preserve"> Institutions</w:t>
      </w:r>
      <w:bookmarkEnd w:id="110"/>
      <w:r>
        <w:rPr>
          <w:rFonts w:ascii="Arial" w:hAnsi="Arial" w:cs="Arial"/>
          <w:b/>
          <w:bCs/>
          <w:iCs/>
          <w:color w:val="660066"/>
          <w:sz w:val="22"/>
          <w:szCs w:val="22"/>
        </w:rPr>
        <w:t xml:space="preserve">  </w:t>
      </w:r>
    </w:p>
    <w:p w:rsidR="007926B9" w:rsidRDefault="007926B9" w:rsidP="0059679C">
      <w:pPr>
        <w:pStyle w:val="normalnumbered"/>
        <w:numPr>
          <w:ilvl w:val="1"/>
          <w:numId w:val="1"/>
        </w:numPr>
        <w:tabs>
          <w:tab w:val="clear" w:pos="2666"/>
          <w:tab w:val="num" w:pos="709"/>
        </w:tabs>
        <w:spacing w:line="264" w:lineRule="auto"/>
        <w:ind w:left="0" w:right="40" w:firstLine="0"/>
        <w:rPr>
          <w:sz w:val="18"/>
          <w:szCs w:val="18"/>
        </w:rPr>
      </w:pPr>
      <w:r>
        <w:rPr>
          <w:sz w:val="18"/>
          <w:szCs w:val="18"/>
        </w:rPr>
        <w:t>Lancashire has three universities that are headquartered in the county: UCLan, the University of Lancaster and Edge Hill University.  In terms of visitor economy provision (defined as courses categorised by HESA</w:t>
      </w:r>
      <w:r>
        <w:rPr>
          <w:rStyle w:val="FootnoteReference"/>
          <w:sz w:val="18"/>
          <w:szCs w:val="18"/>
        </w:rPr>
        <w:footnoteReference w:id="53"/>
      </w:r>
      <w:r>
        <w:rPr>
          <w:sz w:val="18"/>
          <w:szCs w:val="18"/>
        </w:rPr>
        <w:t xml:space="preserve"> as ‘Hospitality, Leisure, Sport, Tourism and Transport’), only one of those – UCLan – delivered any provision in 2013/14.  In that year, they had 800 first degree students and 260 postgraduate students undertaking provision, equating to 5% of their entire undergraduate and 6% of their postgraduate cohorts respectively.  </w:t>
      </w:r>
    </w:p>
    <w:p w:rsidR="007926B9" w:rsidRPr="007926B9" w:rsidRDefault="007926B9" w:rsidP="007E1190">
      <w:pPr>
        <w:pStyle w:val="normalnumbered"/>
        <w:tabs>
          <w:tab w:val="clear" w:pos="2666"/>
        </w:tabs>
        <w:spacing w:line="264" w:lineRule="auto"/>
        <w:ind w:left="0" w:right="40" w:firstLine="0"/>
        <w:rPr>
          <w:sz w:val="18"/>
          <w:szCs w:val="18"/>
          <w:highlight w:val="yellow"/>
        </w:rPr>
      </w:pPr>
    </w:p>
    <w:p w:rsidR="007C27B0" w:rsidRDefault="007C27B0" w:rsidP="0059679C">
      <w:pPr>
        <w:pStyle w:val="normalnumbered"/>
        <w:numPr>
          <w:ilvl w:val="1"/>
          <w:numId w:val="1"/>
        </w:numPr>
        <w:tabs>
          <w:tab w:val="clear" w:pos="2666"/>
          <w:tab w:val="num" w:pos="709"/>
        </w:tabs>
        <w:spacing w:line="264" w:lineRule="auto"/>
        <w:ind w:left="0" w:right="40" w:firstLine="0"/>
        <w:rPr>
          <w:sz w:val="18"/>
          <w:szCs w:val="18"/>
        </w:rPr>
        <w:sectPr w:rsidR="007C27B0" w:rsidSect="009D4C5D">
          <w:footerReference w:type="default" r:id="rId18"/>
          <w:pgSz w:w="16834" w:h="11909" w:orient="landscape" w:code="9"/>
          <w:pgMar w:top="1418" w:right="1440" w:bottom="1419" w:left="1440" w:header="720" w:footer="720" w:gutter="0"/>
          <w:pgNumType w:start="1"/>
          <w:cols w:num="2" w:space="720"/>
          <w:docGrid w:linePitch="360"/>
        </w:sectPr>
      </w:pPr>
    </w:p>
    <w:p w:rsidR="007C27B0" w:rsidRDefault="00967921" w:rsidP="007C27B0">
      <w:pPr>
        <w:pStyle w:val="ListParagraph"/>
        <w:keepNext/>
        <w:pageBreakBefore/>
        <w:numPr>
          <w:ilvl w:val="0"/>
          <w:numId w:val="1"/>
        </w:numPr>
        <w:tabs>
          <w:tab w:val="clear" w:pos="1112"/>
          <w:tab w:val="num" w:pos="567"/>
        </w:tabs>
        <w:spacing w:before="240" w:after="240" w:line="360" w:lineRule="auto"/>
        <w:ind w:left="567" w:hanging="567"/>
        <w:jc w:val="both"/>
        <w:outlineLvl w:val="0"/>
        <w:rPr>
          <w:rFonts w:ascii="Arial" w:hAnsi="Arial" w:cs="Arial"/>
          <w:b/>
          <w:bCs/>
          <w:color w:val="6C2768"/>
          <w:kern w:val="32"/>
          <w:sz w:val="28"/>
          <w:szCs w:val="32"/>
          <w:lang w:eastAsia="en-GB"/>
        </w:rPr>
      </w:pPr>
      <w:bookmarkStart w:id="111" w:name="_Toc424128483"/>
      <w:bookmarkEnd w:id="100"/>
      <w:bookmarkEnd w:id="104"/>
      <w:r w:rsidRPr="007C27B0">
        <w:rPr>
          <w:rFonts w:ascii="Arial" w:hAnsi="Arial" w:cs="Arial"/>
          <w:b/>
          <w:bCs/>
          <w:color w:val="6C2768"/>
          <w:kern w:val="32"/>
          <w:sz w:val="28"/>
          <w:szCs w:val="32"/>
          <w:lang w:eastAsia="en-GB"/>
        </w:rPr>
        <w:lastRenderedPageBreak/>
        <w:t>Action</w:t>
      </w:r>
      <w:r w:rsidR="0059679C" w:rsidRPr="007C27B0">
        <w:rPr>
          <w:rFonts w:ascii="Arial" w:hAnsi="Arial" w:cs="Arial"/>
          <w:b/>
          <w:bCs/>
          <w:color w:val="6C2768"/>
          <w:kern w:val="32"/>
          <w:sz w:val="28"/>
          <w:szCs w:val="32"/>
          <w:lang w:eastAsia="en-GB"/>
        </w:rPr>
        <w:t>s</w:t>
      </w:r>
      <w:bookmarkEnd w:id="111"/>
    </w:p>
    <w:p w:rsidR="007C27B0" w:rsidRDefault="007C27B0" w:rsidP="007C27B0">
      <w:pPr>
        <w:pStyle w:val="normalnumbered"/>
        <w:numPr>
          <w:ilvl w:val="1"/>
          <w:numId w:val="1"/>
        </w:numPr>
        <w:tabs>
          <w:tab w:val="clear" w:pos="2666"/>
          <w:tab w:val="num" w:pos="709"/>
        </w:tabs>
        <w:spacing w:line="264" w:lineRule="auto"/>
        <w:ind w:left="0" w:right="40" w:firstLine="0"/>
        <w:rPr>
          <w:sz w:val="18"/>
          <w:szCs w:val="18"/>
        </w:rPr>
      </w:pPr>
      <w:r>
        <w:rPr>
          <w:sz w:val="18"/>
          <w:szCs w:val="18"/>
        </w:rPr>
        <w:t>The actions in the tables on the following pages are separated into three categories</w:t>
      </w:r>
      <w:r w:rsidR="00494C8F">
        <w:rPr>
          <w:sz w:val="18"/>
          <w:szCs w:val="18"/>
        </w:rPr>
        <w:t xml:space="preserve">.  Together these categories cover a range of employment and skills </w:t>
      </w:r>
      <w:r w:rsidR="00494C8F" w:rsidRPr="007C27B0">
        <w:rPr>
          <w:sz w:val="18"/>
          <w:szCs w:val="18"/>
        </w:rPr>
        <w:t>topics</w:t>
      </w:r>
      <w:r w:rsidR="00494C8F">
        <w:rPr>
          <w:sz w:val="18"/>
          <w:szCs w:val="18"/>
        </w:rPr>
        <w:t xml:space="preserve"> relevant to the visitor economy</w:t>
      </w:r>
      <w:r w:rsidR="00494C8F" w:rsidRPr="007C27B0">
        <w:rPr>
          <w:sz w:val="18"/>
          <w:szCs w:val="18"/>
        </w:rPr>
        <w:t xml:space="preserve">, some of which are a high priority now and others which will grow in significance over the </w:t>
      </w:r>
      <w:r w:rsidR="00494C8F">
        <w:rPr>
          <w:sz w:val="18"/>
          <w:szCs w:val="18"/>
        </w:rPr>
        <w:t xml:space="preserve">years ahead, especially without </w:t>
      </w:r>
      <w:r w:rsidR="00494C8F" w:rsidRPr="007C27B0">
        <w:rPr>
          <w:sz w:val="18"/>
          <w:szCs w:val="18"/>
        </w:rPr>
        <w:t xml:space="preserve">further intervention. </w:t>
      </w:r>
      <w:r w:rsidR="00494C8F">
        <w:rPr>
          <w:sz w:val="18"/>
          <w:szCs w:val="18"/>
        </w:rPr>
        <w:t xml:space="preserve"> </w:t>
      </w:r>
      <w:r>
        <w:rPr>
          <w:sz w:val="18"/>
          <w:szCs w:val="18"/>
        </w:rPr>
        <w:t xml:space="preserve"> </w:t>
      </w:r>
      <w:r w:rsidR="00494C8F">
        <w:rPr>
          <w:sz w:val="18"/>
          <w:szCs w:val="18"/>
        </w:rPr>
        <w:t>The three categories are:</w:t>
      </w:r>
    </w:p>
    <w:p w:rsidR="00852484" w:rsidRPr="00852484" w:rsidRDefault="007C27B0" w:rsidP="00C11701">
      <w:pPr>
        <w:pStyle w:val="ListParagraph"/>
        <w:numPr>
          <w:ilvl w:val="0"/>
          <w:numId w:val="2"/>
        </w:numPr>
        <w:spacing w:before="120" w:after="240" w:line="264" w:lineRule="auto"/>
        <w:ind w:left="993" w:hanging="284"/>
        <w:contextualSpacing w:val="0"/>
        <w:jc w:val="both"/>
        <w:rPr>
          <w:rFonts w:ascii="Arial" w:hAnsi="Arial" w:cs="Arial"/>
          <w:sz w:val="18"/>
          <w:szCs w:val="18"/>
        </w:rPr>
      </w:pPr>
      <w:r w:rsidRPr="00852484">
        <w:rPr>
          <w:rFonts w:ascii="Arial" w:hAnsi="Arial" w:cs="Arial"/>
          <w:b/>
          <w:color w:val="6C2768"/>
          <w:sz w:val="18"/>
          <w:szCs w:val="18"/>
        </w:rPr>
        <w:t xml:space="preserve">Preparing the </w:t>
      </w:r>
      <w:r w:rsidR="000430BE" w:rsidRPr="00852484">
        <w:rPr>
          <w:rFonts w:ascii="Arial" w:hAnsi="Arial" w:cs="Arial"/>
          <w:b/>
          <w:color w:val="6C2768"/>
          <w:sz w:val="18"/>
          <w:szCs w:val="18"/>
        </w:rPr>
        <w:t>F</w:t>
      </w:r>
      <w:r w:rsidR="006520BD" w:rsidRPr="00852484">
        <w:rPr>
          <w:rFonts w:ascii="Arial" w:hAnsi="Arial" w:cs="Arial"/>
          <w:b/>
          <w:color w:val="6C2768"/>
          <w:sz w:val="18"/>
          <w:szCs w:val="18"/>
        </w:rPr>
        <w:t xml:space="preserve">uture </w:t>
      </w:r>
      <w:r w:rsidR="000430BE" w:rsidRPr="00852484">
        <w:rPr>
          <w:rFonts w:ascii="Arial" w:hAnsi="Arial" w:cs="Arial"/>
          <w:b/>
          <w:color w:val="6C2768"/>
          <w:sz w:val="18"/>
          <w:szCs w:val="18"/>
        </w:rPr>
        <w:t>W</w:t>
      </w:r>
      <w:r w:rsidRPr="00852484">
        <w:rPr>
          <w:rFonts w:ascii="Arial" w:hAnsi="Arial" w:cs="Arial"/>
          <w:b/>
          <w:color w:val="6C2768"/>
          <w:sz w:val="18"/>
          <w:szCs w:val="18"/>
        </w:rPr>
        <w:t>orkf</w:t>
      </w:r>
      <w:r w:rsidR="00494C8F" w:rsidRPr="00852484">
        <w:rPr>
          <w:rFonts w:ascii="Arial" w:hAnsi="Arial" w:cs="Arial"/>
          <w:b/>
          <w:color w:val="6C2768"/>
          <w:sz w:val="18"/>
          <w:szCs w:val="18"/>
        </w:rPr>
        <w:t>orce:</w:t>
      </w:r>
      <w:r w:rsidR="00494C8F" w:rsidRPr="00852484">
        <w:rPr>
          <w:rFonts w:ascii="Arial" w:hAnsi="Arial" w:cs="Arial"/>
          <w:sz w:val="18"/>
          <w:szCs w:val="18"/>
        </w:rPr>
        <w:t xml:space="preserve"> these actions are designed to increase the number of people with the right skills and attitudes choosing careers in the visitor economy.  They have been developed in response to high vacancy rates, high turnover and growing frustration amongst employers about how their sector is perceived within parts of the skills system.</w:t>
      </w:r>
      <w:r w:rsidR="00852484" w:rsidRPr="00852484">
        <w:rPr>
          <w:rFonts w:ascii="Arial" w:hAnsi="Arial" w:cs="Arial"/>
          <w:sz w:val="18"/>
          <w:szCs w:val="18"/>
        </w:rPr>
        <w:t xml:space="preserve">  They also acknowledge that apprenticeship numbers in visitor economy related provision are falling, despite the proven benefits they offer, and that </w:t>
      </w:r>
      <w:r w:rsidR="00852484">
        <w:rPr>
          <w:rFonts w:ascii="Arial" w:hAnsi="Arial" w:cs="Arial"/>
          <w:sz w:val="18"/>
          <w:szCs w:val="18"/>
        </w:rPr>
        <w:t xml:space="preserve">many employers </w:t>
      </w:r>
      <w:r w:rsidR="00852484" w:rsidRPr="00852484">
        <w:rPr>
          <w:rFonts w:ascii="Arial" w:hAnsi="Arial" w:cs="Arial"/>
          <w:sz w:val="18"/>
          <w:szCs w:val="18"/>
        </w:rPr>
        <w:t xml:space="preserve">would like the work readiness and employability </w:t>
      </w:r>
      <w:r w:rsidR="003F6F29">
        <w:rPr>
          <w:rFonts w:ascii="Arial" w:hAnsi="Arial" w:cs="Arial"/>
          <w:sz w:val="18"/>
          <w:szCs w:val="18"/>
        </w:rPr>
        <w:t xml:space="preserve">skills </w:t>
      </w:r>
      <w:r w:rsidR="00852484" w:rsidRPr="00852484">
        <w:rPr>
          <w:rFonts w:ascii="Arial" w:hAnsi="Arial" w:cs="Arial"/>
          <w:sz w:val="18"/>
          <w:szCs w:val="18"/>
        </w:rPr>
        <w:t xml:space="preserve">of young people to be </w:t>
      </w:r>
      <w:r w:rsidR="005B4CBD">
        <w:rPr>
          <w:rFonts w:ascii="Arial" w:hAnsi="Arial" w:cs="Arial"/>
          <w:sz w:val="18"/>
          <w:szCs w:val="18"/>
        </w:rPr>
        <w:t>better</w:t>
      </w:r>
      <w:r w:rsidR="00852484" w:rsidRPr="00852484">
        <w:rPr>
          <w:rFonts w:ascii="Arial" w:hAnsi="Arial" w:cs="Arial"/>
          <w:sz w:val="18"/>
          <w:szCs w:val="18"/>
        </w:rPr>
        <w:t xml:space="preserve">.   </w:t>
      </w:r>
    </w:p>
    <w:p w:rsidR="007C27B0" w:rsidRPr="007C27B0" w:rsidRDefault="000430BE" w:rsidP="00C11701">
      <w:pPr>
        <w:pStyle w:val="ListParagraph"/>
        <w:numPr>
          <w:ilvl w:val="0"/>
          <w:numId w:val="2"/>
        </w:numPr>
        <w:spacing w:before="120" w:after="240" w:line="264" w:lineRule="auto"/>
        <w:ind w:left="993" w:hanging="284"/>
        <w:contextualSpacing w:val="0"/>
        <w:jc w:val="both"/>
        <w:rPr>
          <w:rFonts w:ascii="Arial" w:hAnsi="Arial" w:cs="Arial"/>
          <w:sz w:val="18"/>
          <w:szCs w:val="18"/>
        </w:rPr>
      </w:pPr>
      <w:r w:rsidRPr="00494C8F">
        <w:rPr>
          <w:rFonts w:ascii="Arial Bold" w:hAnsi="Arial Bold" w:cs="Arial"/>
          <w:b/>
          <w:color w:val="6C2768"/>
          <w:sz w:val="18"/>
          <w:szCs w:val="18"/>
        </w:rPr>
        <w:t>Developing the Existing W</w:t>
      </w:r>
      <w:r w:rsidR="007C27B0" w:rsidRPr="00494C8F">
        <w:rPr>
          <w:rFonts w:ascii="Arial Bold" w:hAnsi="Arial Bold" w:cs="Arial"/>
          <w:b/>
          <w:color w:val="6C2768"/>
          <w:sz w:val="18"/>
          <w:szCs w:val="18"/>
        </w:rPr>
        <w:t>orkforce</w:t>
      </w:r>
      <w:r w:rsidR="00494C8F" w:rsidRPr="00494C8F">
        <w:rPr>
          <w:rFonts w:ascii="Arial Bold" w:hAnsi="Arial Bold" w:cs="Arial"/>
          <w:b/>
          <w:color w:val="6C2768"/>
          <w:sz w:val="18"/>
          <w:szCs w:val="18"/>
        </w:rPr>
        <w:t xml:space="preserve">: </w:t>
      </w:r>
      <w:r w:rsidR="00852484">
        <w:rPr>
          <w:rFonts w:ascii="Arial" w:hAnsi="Arial" w:cs="Arial"/>
          <w:sz w:val="18"/>
          <w:szCs w:val="18"/>
        </w:rPr>
        <w:t xml:space="preserve">these actions are aimed at addressing skills gaps in the </w:t>
      </w:r>
      <w:r w:rsidR="005B4CBD">
        <w:rPr>
          <w:rFonts w:ascii="Arial" w:hAnsi="Arial" w:cs="Arial"/>
          <w:sz w:val="18"/>
          <w:szCs w:val="18"/>
        </w:rPr>
        <w:t xml:space="preserve">visitor economy workforce.  They seek to </w:t>
      </w:r>
      <w:r w:rsidR="000C49A6">
        <w:rPr>
          <w:rFonts w:ascii="Arial" w:hAnsi="Arial" w:cs="Arial"/>
          <w:sz w:val="18"/>
          <w:szCs w:val="18"/>
        </w:rPr>
        <w:t>increase</w:t>
      </w:r>
      <w:r w:rsidR="005B4CBD">
        <w:rPr>
          <w:rFonts w:ascii="Arial" w:hAnsi="Arial" w:cs="Arial"/>
          <w:sz w:val="18"/>
          <w:szCs w:val="18"/>
        </w:rPr>
        <w:t xml:space="preserve"> the proportion of SMEs that can </w:t>
      </w:r>
      <w:r w:rsidR="000C49A6">
        <w:rPr>
          <w:rFonts w:ascii="Arial" w:hAnsi="Arial" w:cs="Arial"/>
          <w:sz w:val="18"/>
          <w:szCs w:val="18"/>
        </w:rPr>
        <w:t xml:space="preserve">sell online, </w:t>
      </w:r>
      <w:r w:rsidR="003F6F29">
        <w:rPr>
          <w:rFonts w:ascii="Arial" w:hAnsi="Arial" w:cs="Arial"/>
          <w:sz w:val="18"/>
          <w:szCs w:val="18"/>
        </w:rPr>
        <w:t xml:space="preserve">advocate </w:t>
      </w:r>
      <w:r w:rsidR="000C49A6">
        <w:rPr>
          <w:rFonts w:ascii="Arial" w:hAnsi="Arial" w:cs="Arial"/>
          <w:sz w:val="18"/>
          <w:szCs w:val="18"/>
        </w:rPr>
        <w:t xml:space="preserve">support for new and young managers and </w:t>
      </w:r>
      <w:r w:rsidR="003F6F29">
        <w:rPr>
          <w:rFonts w:ascii="Arial" w:hAnsi="Arial" w:cs="Arial"/>
          <w:sz w:val="18"/>
          <w:szCs w:val="18"/>
        </w:rPr>
        <w:t xml:space="preserve">look to </w:t>
      </w:r>
      <w:r w:rsidR="000C49A6">
        <w:rPr>
          <w:rFonts w:ascii="Arial" w:hAnsi="Arial" w:cs="Arial"/>
          <w:sz w:val="18"/>
          <w:szCs w:val="18"/>
        </w:rPr>
        <w:t>ensure that the visitor economy is prioritised within future workforce development programmes</w:t>
      </w:r>
      <w:r w:rsidR="003F6F29">
        <w:rPr>
          <w:rFonts w:ascii="Arial" w:hAnsi="Arial" w:cs="Arial"/>
          <w:sz w:val="18"/>
          <w:szCs w:val="18"/>
        </w:rPr>
        <w:t xml:space="preserve"> in Lancashire</w:t>
      </w:r>
      <w:r w:rsidR="000C49A6">
        <w:rPr>
          <w:rFonts w:ascii="Arial" w:hAnsi="Arial" w:cs="Arial"/>
          <w:sz w:val="18"/>
          <w:szCs w:val="18"/>
        </w:rPr>
        <w:t xml:space="preserve">. </w:t>
      </w:r>
      <w:r w:rsidR="00852484">
        <w:rPr>
          <w:rFonts w:ascii="Arial" w:hAnsi="Arial" w:cs="Arial"/>
          <w:sz w:val="18"/>
          <w:szCs w:val="18"/>
        </w:rPr>
        <w:t xml:space="preserve">  </w:t>
      </w:r>
    </w:p>
    <w:p w:rsidR="00C11701" w:rsidRDefault="000430BE" w:rsidP="00C11701">
      <w:pPr>
        <w:pStyle w:val="ListParagraph"/>
        <w:numPr>
          <w:ilvl w:val="0"/>
          <w:numId w:val="2"/>
        </w:numPr>
        <w:spacing w:before="120" w:after="240" w:line="264" w:lineRule="auto"/>
        <w:ind w:left="993" w:hanging="284"/>
        <w:contextualSpacing w:val="0"/>
        <w:jc w:val="both"/>
        <w:rPr>
          <w:rFonts w:ascii="Arial" w:hAnsi="Arial" w:cs="Arial"/>
          <w:sz w:val="18"/>
          <w:szCs w:val="18"/>
        </w:rPr>
      </w:pPr>
      <w:r w:rsidRPr="000C49A6">
        <w:rPr>
          <w:rFonts w:ascii="Arial Bold" w:hAnsi="Arial Bold" w:cs="Arial"/>
          <w:b/>
          <w:color w:val="6C2768"/>
          <w:sz w:val="18"/>
          <w:szCs w:val="18"/>
        </w:rPr>
        <w:t>Learning from Good Practice and Deepening K</w:t>
      </w:r>
      <w:r w:rsidR="007C27B0" w:rsidRPr="000C49A6">
        <w:rPr>
          <w:rFonts w:ascii="Arial Bold" w:hAnsi="Arial Bold" w:cs="Arial"/>
          <w:b/>
          <w:color w:val="6C2768"/>
          <w:sz w:val="18"/>
          <w:szCs w:val="18"/>
        </w:rPr>
        <w:t>nowledge</w:t>
      </w:r>
      <w:r w:rsidR="00494C8F" w:rsidRPr="000C49A6">
        <w:rPr>
          <w:rFonts w:ascii="Arial Bold" w:hAnsi="Arial Bold" w:cs="Arial"/>
          <w:b/>
          <w:color w:val="6C2768"/>
          <w:sz w:val="18"/>
          <w:szCs w:val="18"/>
        </w:rPr>
        <w:t>:</w:t>
      </w:r>
      <w:r w:rsidR="000C49A6" w:rsidRPr="000C49A6">
        <w:rPr>
          <w:rFonts w:ascii="Arial" w:hAnsi="Arial" w:cs="Arial"/>
          <w:sz w:val="18"/>
          <w:szCs w:val="18"/>
        </w:rPr>
        <w:t xml:space="preserve"> these actions recognise </w:t>
      </w:r>
      <w:r w:rsidR="000C49A6">
        <w:rPr>
          <w:rFonts w:ascii="Arial" w:hAnsi="Arial" w:cs="Arial"/>
          <w:sz w:val="18"/>
          <w:szCs w:val="18"/>
        </w:rPr>
        <w:t xml:space="preserve">the innovative and </w:t>
      </w:r>
      <w:r w:rsidR="00C11701">
        <w:rPr>
          <w:rFonts w:ascii="Arial" w:hAnsi="Arial" w:cs="Arial"/>
          <w:sz w:val="18"/>
          <w:szCs w:val="18"/>
        </w:rPr>
        <w:t xml:space="preserve">effective practice </w:t>
      </w:r>
      <w:r w:rsidR="000C49A6" w:rsidRPr="000C49A6">
        <w:rPr>
          <w:rFonts w:ascii="Arial" w:hAnsi="Arial" w:cs="Arial"/>
          <w:sz w:val="18"/>
          <w:szCs w:val="18"/>
        </w:rPr>
        <w:t xml:space="preserve">that </w:t>
      </w:r>
      <w:r w:rsidR="00C11701">
        <w:rPr>
          <w:rFonts w:ascii="Arial" w:hAnsi="Arial" w:cs="Arial"/>
          <w:sz w:val="18"/>
          <w:szCs w:val="18"/>
        </w:rPr>
        <w:t xml:space="preserve">is already taking place in Lancashire’s visitor economy and proposes that </w:t>
      </w:r>
      <w:r w:rsidR="003F6F29">
        <w:rPr>
          <w:rFonts w:ascii="Arial" w:hAnsi="Arial" w:cs="Arial"/>
          <w:sz w:val="18"/>
          <w:szCs w:val="18"/>
        </w:rPr>
        <w:t xml:space="preserve">its </w:t>
      </w:r>
      <w:r w:rsidR="00C11701">
        <w:rPr>
          <w:rFonts w:ascii="Arial" w:hAnsi="Arial" w:cs="Arial"/>
          <w:sz w:val="18"/>
          <w:szCs w:val="18"/>
        </w:rPr>
        <w:t>wider roll-out</w:t>
      </w:r>
      <w:r w:rsidR="003F6F29">
        <w:rPr>
          <w:rFonts w:ascii="Arial" w:hAnsi="Arial" w:cs="Arial"/>
          <w:sz w:val="18"/>
          <w:szCs w:val="18"/>
        </w:rPr>
        <w:t xml:space="preserve"> be considered</w:t>
      </w:r>
      <w:r w:rsidR="00C11701">
        <w:rPr>
          <w:rFonts w:ascii="Arial" w:hAnsi="Arial" w:cs="Arial"/>
          <w:sz w:val="18"/>
          <w:szCs w:val="18"/>
        </w:rPr>
        <w:t xml:space="preserve">.  They also recommend that economies of scale be explored with senior influencers in the visitor economy nationally and that further qualitative research be undertaken with employers in specific sub-sectors. </w:t>
      </w:r>
    </w:p>
    <w:p w:rsidR="004A0ACC" w:rsidRDefault="00C11701" w:rsidP="007C27B0">
      <w:pPr>
        <w:pStyle w:val="normalnumbered"/>
        <w:numPr>
          <w:ilvl w:val="1"/>
          <w:numId w:val="1"/>
        </w:numPr>
        <w:tabs>
          <w:tab w:val="clear" w:pos="2666"/>
          <w:tab w:val="num" w:pos="709"/>
        </w:tabs>
        <w:spacing w:line="264" w:lineRule="auto"/>
        <w:ind w:left="0" w:right="40" w:firstLine="0"/>
        <w:rPr>
          <w:sz w:val="18"/>
          <w:szCs w:val="18"/>
        </w:rPr>
      </w:pPr>
      <w:r>
        <w:rPr>
          <w:sz w:val="18"/>
          <w:szCs w:val="18"/>
        </w:rPr>
        <w:t xml:space="preserve">Each action has been assigned a lead organisation that will be responsible for its implementation and for reporting progress to the Employment and Skills Board.  </w:t>
      </w:r>
      <w:r w:rsidR="004A0ACC">
        <w:rPr>
          <w:sz w:val="18"/>
          <w:szCs w:val="18"/>
        </w:rPr>
        <w:t xml:space="preserve">However the lead organisations will not </w:t>
      </w:r>
      <w:r w:rsidR="003F6F29">
        <w:rPr>
          <w:sz w:val="18"/>
          <w:szCs w:val="18"/>
        </w:rPr>
        <w:t xml:space="preserve">(and in many cases cannot) </w:t>
      </w:r>
      <w:r w:rsidR="004A0ACC">
        <w:rPr>
          <w:sz w:val="18"/>
          <w:szCs w:val="18"/>
        </w:rPr>
        <w:t xml:space="preserve">be solely responsible for the </w:t>
      </w:r>
      <w:r w:rsidR="004A0ACC">
        <w:rPr>
          <w:i/>
          <w:sz w:val="18"/>
          <w:szCs w:val="18"/>
        </w:rPr>
        <w:t xml:space="preserve">delivery </w:t>
      </w:r>
      <w:r w:rsidR="004A0ACC">
        <w:rPr>
          <w:sz w:val="18"/>
          <w:szCs w:val="18"/>
        </w:rPr>
        <w:t xml:space="preserve">of the actions.  </w:t>
      </w:r>
      <w:r w:rsidR="003F6F29">
        <w:rPr>
          <w:sz w:val="18"/>
          <w:szCs w:val="18"/>
        </w:rPr>
        <w:t>T</w:t>
      </w:r>
      <w:r w:rsidR="004A0ACC">
        <w:rPr>
          <w:sz w:val="18"/>
          <w:szCs w:val="18"/>
        </w:rPr>
        <w:t xml:space="preserve">his will require the involvement and expertise of other organisations.  Against each action, the most appropriate ‘supporting organisations’ have therefore also been identified.  </w:t>
      </w:r>
    </w:p>
    <w:p w:rsidR="007C27B0" w:rsidRPr="00C11701" w:rsidRDefault="007C27B0" w:rsidP="004A0ACC">
      <w:pPr>
        <w:pStyle w:val="normalnumbered"/>
        <w:tabs>
          <w:tab w:val="clear" w:pos="2666"/>
        </w:tabs>
        <w:spacing w:line="264" w:lineRule="auto"/>
        <w:ind w:left="0" w:right="40" w:firstLine="0"/>
        <w:rPr>
          <w:sz w:val="18"/>
          <w:szCs w:val="18"/>
        </w:rPr>
      </w:pPr>
    </w:p>
    <w:p w:rsidR="007C27B0" w:rsidRDefault="007C27B0" w:rsidP="007C27B0">
      <w:pPr>
        <w:pStyle w:val="normalnumbered"/>
        <w:tabs>
          <w:tab w:val="clear" w:pos="2666"/>
        </w:tabs>
        <w:spacing w:line="264" w:lineRule="auto"/>
        <w:ind w:right="40"/>
        <w:rPr>
          <w:sz w:val="18"/>
          <w:szCs w:val="18"/>
        </w:rPr>
      </w:pPr>
    </w:p>
    <w:p w:rsidR="007C27B0" w:rsidRDefault="007C27B0" w:rsidP="007C27B0">
      <w:pPr>
        <w:pStyle w:val="normalnumbered"/>
        <w:tabs>
          <w:tab w:val="clear" w:pos="2666"/>
        </w:tabs>
        <w:spacing w:line="264" w:lineRule="auto"/>
        <w:ind w:right="40"/>
        <w:rPr>
          <w:sz w:val="18"/>
          <w:szCs w:val="18"/>
        </w:rPr>
      </w:pPr>
    </w:p>
    <w:p w:rsidR="007C27B0" w:rsidRDefault="007C27B0" w:rsidP="007C27B0">
      <w:pPr>
        <w:pStyle w:val="normalnumbered"/>
        <w:tabs>
          <w:tab w:val="clear" w:pos="2666"/>
        </w:tabs>
        <w:spacing w:line="264" w:lineRule="auto"/>
        <w:ind w:right="40"/>
        <w:rPr>
          <w:sz w:val="18"/>
          <w:szCs w:val="18"/>
        </w:rPr>
      </w:pPr>
    </w:p>
    <w:p w:rsidR="007C27B0" w:rsidRDefault="007C27B0" w:rsidP="007C27B0">
      <w:pPr>
        <w:pStyle w:val="normalnumbered"/>
        <w:tabs>
          <w:tab w:val="clear" w:pos="2666"/>
        </w:tabs>
        <w:spacing w:line="264" w:lineRule="auto"/>
        <w:ind w:right="40"/>
        <w:rPr>
          <w:sz w:val="18"/>
          <w:szCs w:val="18"/>
        </w:rPr>
      </w:pPr>
    </w:p>
    <w:p w:rsidR="007C27B0" w:rsidRDefault="007C27B0" w:rsidP="007C27B0">
      <w:pPr>
        <w:pStyle w:val="normalnumbered"/>
        <w:tabs>
          <w:tab w:val="clear" w:pos="2666"/>
        </w:tabs>
        <w:spacing w:line="264" w:lineRule="auto"/>
        <w:ind w:right="40"/>
        <w:rPr>
          <w:sz w:val="18"/>
          <w:szCs w:val="18"/>
        </w:rPr>
      </w:pPr>
    </w:p>
    <w:p w:rsidR="007C27B0" w:rsidRDefault="007C27B0" w:rsidP="007C27B0">
      <w:pPr>
        <w:keepNext/>
        <w:pageBreakBefore/>
        <w:spacing w:before="240" w:after="240" w:line="360" w:lineRule="auto"/>
        <w:jc w:val="both"/>
        <w:outlineLvl w:val="0"/>
        <w:rPr>
          <w:lang w:eastAsia="en-GB"/>
        </w:rPr>
      </w:pPr>
      <w:bookmarkStart w:id="112" w:name="_Toc422907651"/>
      <w:bookmarkStart w:id="113" w:name="_Toc424128484"/>
      <w:r>
        <w:rPr>
          <w:rFonts w:ascii="Arial" w:hAnsi="Arial" w:cs="Arial"/>
          <w:b/>
          <w:bCs/>
          <w:color w:val="6C2768"/>
          <w:kern w:val="32"/>
          <w:sz w:val="28"/>
          <w:szCs w:val="32"/>
          <w:lang w:eastAsia="en-GB"/>
        </w:rPr>
        <w:lastRenderedPageBreak/>
        <w:t xml:space="preserve">Preparing the </w:t>
      </w:r>
      <w:r w:rsidR="00955E89">
        <w:rPr>
          <w:rFonts w:ascii="Arial" w:hAnsi="Arial" w:cs="Arial"/>
          <w:b/>
          <w:bCs/>
          <w:color w:val="6C2768"/>
          <w:kern w:val="32"/>
          <w:sz w:val="28"/>
          <w:szCs w:val="32"/>
          <w:lang w:eastAsia="en-GB"/>
        </w:rPr>
        <w:t xml:space="preserve">Future </w:t>
      </w:r>
      <w:r>
        <w:rPr>
          <w:rFonts w:ascii="Arial" w:hAnsi="Arial" w:cs="Arial"/>
          <w:b/>
          <w:bCs/>
          <w:color w:val="6C2768"/>
          <w:kern w:val="32"/>
          <w:sz w:val="28"/>
          <w:szCs w:val="32"/>
          <w:lang w:eastAsia="en-GB"/>
        </w:rPr>
        <w:t>Workforce</w:t>
      </w:r>
      <w:bookmarkEnd w:id="112"/>
      <w:bookmarkEnd w:id="113"/>
    </w:p>
    <w:tbl>
      <w:tblPr>
        <w:tblStyle w:val="MediumGrid3-Accent1"/>
        <w:tblW w:w="0" w:type="auto"/>
        <w:tblBorders>
          <w:insideH w:val="single" w:sz="8" w:space="0" w:color="FFFFFF" w:themeColor="background1"/>
          <w:insideV w:val="single" w:sz="8" w:space="0" w:color="FFFFFF" w:themeColor="background1"/>
        </w:tblBorders>
        <w:tblLook w:val="04A0" w:firstRow="1" w:lastRow="0" w:firstColumn="1" w:lastColumn="0" w:noHBand="0" w:noVBand="1"/>
      </w:tblPr>
      <w:tblGrid>
        <w:gridCol w:w="832"/>
        <w:gridCol w:w="8632"/>
        <w:gridCol w:w="2268"/>
        <w:gridCol w:w="2410"/>
      </w:tblGrid>
      <w:tr w:rsidR="00833163" w:rsidRPr="007C27B0" w:rsidTr="007926B9">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832" w:type="dxa"/>
            <w:tcBorders>
              <w:top w:val="none" w:sz="0" w:space="0" w:color="auto"/>
              <w:left w:val="none" w:sz="0" w:space="0" w:color="auto"/>
              <w:bottom w:val="single" w:sz="8" w:space="0" w:color="FFFFFF" w:themeColor="background1"/>
              <w:right w:val="none" w:sz="0" w:space="0" w:color="auto"/>
            </w:tcBorders>
            <w:vAlign w:val="center"/>
          </w:tcPr>
          <w:p w:rsidR="00833163" w:rsidRPr="007C27B0" w:rsidRDefault="00833163" w:rsidP="00924146">
            <w:pPr>
              <w:jc w:val="center"/>
              <w:rPr>
                <w:rFonts w:ascii="Arial" w:hAnsi="Arial" w:cs="Arial"/>
                <w:sz w:val="18"/>
                <w:szCs w:val="18"/>
                <w:lang w:eastAsia="en-GB"/>
              </w:rPr>
            </w:pPr>
            <w:r w:rsidRPr="007C27B0">
              <w:rPr>
                <w:rFonts w:ascii="Arial" w:hAnsi="Arial" w:cs="Arial"/>
                <w:sz w:val="18"/>
                <w:szCs w:val="18"/>
                <w:lang w:eastAsia="en-GB"/>
              </w:rPr>
              <w:t>Ref.</w:t>
            </w:r>
          </w:p>
        </w:tc>
        <w:tc>
          <w:tcPr>
            <w:tcW w:w="8632" w:type="dxa"/>
            <w:tcBorders>
              <w:top w:val="none" w:sz="0" w:space="0" w:color="auto"/>
              <w:left w:val="none" w:sz="0" w:space="0" w:color="auto"/>
              <w:bottom w:val="single" w:sz="8" w:space="0" w:color="FFFFFF" w:themeColor="background1"/>
              <w:right w:val="none" w:sz="0" w:space="0" w:color="auto"/>
            </w:tcBorders>
            <w:vAlign w:val="center"/>
          </w:tcPr>
          <w:p w:rsidR="00833163" w:rsidRPr="007C27B0" w:rsidRDefault="00833163" w:rsidP="0092414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Action</w:t>
            </w:r>
          </w:p>
        </w:tc>
        <w:tc>
          <w:tcPr>
            <w:tcW w:w="2268" w:type="dxa"/>
            <w:tcBorders>
              <w:top w:val="none" w:sz="0" w:space="0" w:color="auto"/>
              <w:left w:val="none" w:sz="0" w:space="0" w:color="auto"/>
              <w:bottom w:val="single" w:sz="8" w:space="0" w:color="FFFFFF" w:themeColor="background1"/>
              <w:right w:val="none" w:sz="0" w:space="0" w:color="auto"/>
            </w:tcBorders>
            <w:vAlign w:val="center"/>
          </w:tcPr>
          <w:p w:rsidR="00833163" w:rsidRPr="007C27B0" w:rsidRDefault="00833163" w:rsidP="0092414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Lead</w:t>
            </w:r>
          </w:p>
        </w:tc>
        <w:tc>
          <w:tcPr>
            <w:tcW w:w="2410" w:type="dxa"/>
            <w:tcBorders>
              <w:top w:val="none" w:sz="0" w:space="0" w:color="auto"/>
              <w:left w:val="none" w:sz="0" w:space="0" w:color="auto"/>
              <w:bottom w:val="single" w:sz="8" w:space="0" w:color="FFFFFF" w:themeColor="background1"/>
              <w:right w:val="none" w:sz="0" w:space="0" w:color="auto"/>
            </w:tcBorders>
            <w:vAlign w:val="center"/>
          </w:tcPr>
          <w:p w:rsidR="00833163" w:rsidRPr="007C27B0" w:rsidRDefault="00833163" w:rsidP="0092414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Supporting</w:t>
            </w:r>
          </w:p>
        </w:tc>
      </w:tr>
      <w:tr w:rsidR="007926B9" w:rsidRPr="007C27B0" w:rsidTr="007926B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32" w:type="dxa"/>
            <w:vMerge w:val="restart"/>
            <w:tcBorders>
              <w:right w:val="single" w:sz="8" w:space="0" w:color="FFFFFF" w:themeColor="background1"/>
            </w:tcBorders>
            <w:shd w:val="clear" w:color="auto" w:fill="D3DFEE"/>
            <w:vAlign w:val="center"/>
          </w:tcPr>
          <w:p w:rsidR="007926B9" w:rsidRPr="007926B9" w:rsidRDefault="007926B9" w:rsidP="00924146">
            <w:pPr>
              <w:spacing w:line="264" w:lineRule="auto"/>
              <w:jc w:val="center"/>
              <w:rPr>
                <w:rFonts w:ascii="Arial" w:hAnsi="Arial" w:cs="Arial"/>
                <w:color w:val="auto"/>
                <w:sz w:val="18"/>
                <w:szCs w:val="18"/>
                <w:lang w:eastAsia="en-GB"/>
              </w:rPr>
            </w:pPr>
            <w:r w:rsidRPr="007926B9">
              <w:rPr>
                <w:rFonts w:ascii="Arial" w:hAnsi="Arial" w:cs="Arial"/>
                <w:color w:val="auto"/>
                <w:sz w:val="18"/>
                <w:szCs w:val="18"/>
                <w:lang w:eastAsia="en-GB"/>
              </w:rPr>
              <w:t>P1</w:t>
            </w:r>
          </w:p>
        </w:tc>
        <w:tc>
          <w:tcPr>
            <w:tcW w:w="8632" w:type="dxa"/>
            <w:vMerge w:val="restart"/>
            <w:shd w:val="clear" w:color="auto" w:fill="D3DFEE"/>
            <w:vAlign w:val="center"/>
          </w:tcPr>
          <w:p w:rsidR="007926B9" w:rsidRDefault="007926B9" w:rsidP="00FF6631">
            <w:pPr>
              <w:spacing w:before="120" w:after="12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Explore options for a best-in-class ‘Hotel School’ as a joint venture between skills providers and employers to develop </w:t>
            </w:r>
            <w:r w:rsidR="00FF6631">
              <w:rPr>
                <w:rFonts w:ascii="Arial" w:hAnsi="Arial" w:cs="Arial"/>
                <w:sz w:val="18"/>
                <w:szCs w:val="18"/>
              </w:rPr>
              <w:t xml:space="preserve"> </w:t>
            </w:r>
            <w:r>
              <w:rPr>
                <w:rFonts w:ascii="Arial" w:hAnsi="Arial" w:cs="Arial"/>
                <w:sz w:val="18"/>
                <w:szCs w:val="18"/>
              </w:rPr>
              <w:t xml:space="preserve">people’s skills/experience across an array of occupations and disciplines.  </w:t>
            </w:r>
          </w:p>
        </w:tc>
        <w:tc>
          <w:tcPr>
            <w:tcW w:w="2268" w:type="dxa"/>
            <w:vMerge w:val="restart"/>
            <w:shd w:val="clear" w:color="auto" w:fill="D3DFEE"/>
            <w:vAlign w:val="center"/>
          </w:tcPr>
          <w:p w:rsidR="007926B9" w:rsidRDefault="007926B9"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Skills Hub</w:t>
            </w:r>
          </w:p>
        </w:tc>
        <w:tc>
          <w:tcPr>
            <w:tcW w:w="2410" w:type="dxa"/>
            <w:shd w:val="clear" w:color="auto" w:fill="D3DFEE"/>
            <w:vAlign w:val="center"/>
          </w:tcPr>
          <w:p w:rsidR="007926B9" w:rsidRDefault="007926B9"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Employers </w:t>
            </w:r>
          </w:p>
        </w:tc>
      </w:tr>
      <w:tr w:rsidR="007926B9" w:rsidRPr="007C27B0" w:rsidTr="007926B9">
        <w:trPr>
          <w:trHeight w:val="540"/>
        </w:trPr>
        <w:tc>
          <w:tcPr>
            <w:cnfStyle w:val="001000000000" w:firstRow="0" w:lastRow="0" w:firstColumn="1" w:lastColumn="0" w:oddVBand="0" w:evenVBand="0" w:oddHBand="0" w:evenHBand="0" w:firstRowFirstColumn="0" w:firstRowLastColumn="0" w:lastRowFirstColumn="0" w:lastRowLastColumn="0"/>
            <w:tcW w:w="832" w:type="dxa"/>
            <w:vMerge/>
            <w:tcBorders>
              <w:bottom w:val="single" w:sz="8" w:space="0" w:color="FFFFFF" w:themeColor="background1"/>
              <w:right w:val="single" w:sz="8" w:space="0" w:color="FFFFFF" w:themeColor="background1"/>
            </w:tcBorders>
            <w:shd w:val="clear" w:color="auto" w:fill="D3DFEE"/>
            <w:vAlign w:val="center"/>
          </w:tcPr>
          <w:p w:rsidR="007926B9" w:rsidRPr="007926B9" w:rsidRDefault="007926B9" w:rsidP="00924146">
            <w:pPr>
              <w:spacing w:line="264" w:lineRule="auto"/>
              <w:jc w:val="center"/>
              <w:rPr>
                <w:rFonts w:ascii="Arial" w:hAnsi="Arial" w:cs="Arial"/>
                <w:sz w:val="18"/>
                <w:szCs w:val="18"/>
                <w:lang w:eastAsia="en-GB"/>
              </w:rPr>
            </w:pPr>
          </w:p>
        </w:tc>
        <w:tc>
          <w:tcPr>
            <w:tcW w:w="8632" w:type="dxa"/>
            <w:vMerge/>
            <w:tcBorders>
              <w:left w:val="single" w:sz="8" w:space="0" w:color="FFFFFF" w:themeColor="background1"/>
            </w:tcBorders>
            <w:shd w:val="clear" w:color="auto" w:fill="D3DFEE"/>
            <w:vAlign w:val="center"/>
          </w:tcPr>
          <w:p w:rsidR="007926B9" w:rsidRDefault="007926B9" w:rsidP="007926B9">
            <w:pPr>
              <w:spacing w:before="120" w:after="12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vMerge/>
            <w:shd w:val="clear" w:color="auto" w:fill="D3DFEE"/>
            <w:vAlign w:val="center"/>
          </w:tcPr>
          <w:p w:rsidR="007926B9" w:rsidRDefault="007926B9"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shd w:val="clear" w:color="auto" w:fill="D3DFEE"/>
            <w:vAlign w:val="center"/>
          </w:tcPr>
          <w:p w:rsidR="007926B9" w:rsidRDefault="007926B9"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r>
      <w:tr w:rsidR="00833163" w:rsidRPr="007C27B0" w:rsidTr="007926B9">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832" w:type="dxa"/>
            <w:vMerge w:val="restart"/>
            <w:tcBorders>
              <w:left w:val="none" w:sz="0" w:space="0" w:color="auto"/>
              <w:bottom w:val="none" w:sz="0" w:space="0" w:color="auto"/>
              <w:right w:val="none" w:sz="0" w:space="0" w:color="auto"/>
            </w:tcBorders>
            <w:shd w:val="clear" w:color="auto" w:fill="A7BFDE"/>
            <w:vAlign w:val="center"/>
          </w:tcPr>
          <w:p w:rsidR="00833163" w:rsidRPr="007C27B0" w:rsidRDefault="00833163" w:rsidP="00924146">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P</w:t>
            </w:r>
            <w:r w:rsidR="007926B9">
              <w:rPr>
                <w:rFonts w:ascii="Arial" w:hAnsi="Arial" w:cs="Arial"/>
                <w:color w:val="auto"/>
                <w:sz w:val="18"/>
                <w:szCs w:val="18"/>
                <w:lang w:eastAsia="en-GB"/>
              </w:rPr>
              <w:t>2</w:t>
            </w:r>
          </w:p>
        </w:tc>
        <w:tc>
          <w:tcPr>
            <w:tcW w:w="8632" w:type="dxa"/>
            <w:vMerge w:val="restart"/>
            <w:tcBorders>
              <w:top w:val="none" w:sz="0" w:space="0" w:color="auto"/>
              <w:left w:val="none" w:sz="0" w:space="0" w:color="auto"/>
              <w:bottom w:val="none" w:sz="0" w:space="0" w:color="auto"/>
              <w:right w:val="none" w:sz="0" w:space="0" w:color="auto"/>
            </w:tcBorders>
            <w:shd w:val="clear" w:color="auto" w:fill="A7BFDE"/>
            <w:vAlign w:val="center"/>
          </w:tcPr>
          <w:p w:rsidR="00833163" w:rsidRDefault="00833163" w:rsidP="00833163">
            <w:pPr>
              <w:spacing w:before="120" w:after="12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In partnership with employers, develop a </w:t>
            </w:r>
            <w:r>
              <w:rPr>
                <w:rFonts w:ascii="Arial" w:hAnsi="Arial" w:cs="Arial"/>
                <w:i/>
                <w:sz w:val="18"/>
                <w:szCs w:val="18"/>
              </w:rPr>
              <w:t xml:space="preserve">Visitor Economy Ambassador </w:t>
            </w:r>
            <w:r>
              <w:rPr>
                <w:rFonts w:ascii="Arial" w:hAnsi="Arial" w:cs="Arial"/>
                <w:sz w:val="18"/>
                <w:szCs w:val="18"/>
              </w:rPr>
              <w:t xml:space="preserve">programme with a remit to: </w:t>
            </w:r>
          </w:p>
          <w:p w:rsidR="00833163" w:rsidRDefault="00833163" w:rsidP="00833163">
            <w:pPr>
              <w:pStyle w:val="ListParagraph"/>
              <w:numPr>
                <w:ilvl w:val="0"/>
                <w:numId w:val="19"/>
              </w:numPr>
              <w:spacing w:before="120" w:after="120" w:line="264" w:lineRule="auto"/>
              <w:ind w:left="301" w:hanging="3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r w:rsidRPr="00833163">
              <w:rPr>
                <w:rFonts w:ascii="Arial" w:hAnsi="Arial" w:cs="Arial"/>
                <w:sz w:val="18"/>
                <w:szCs w:val="18"/>
              </w:rPr>
              <w:t>etter and more accurately promote the breadth of jobs and careers in the sector to young people across the county</w:t>
            </w:r>
            <w:r>
              <w:rPr>
                <w:rFonts w:ascii="Arial" w:hAnsi="Arial" w:cs="Arial"/>
                <w:sz w:val="18"/>
                <w:szCs w:val="18"/>
              </w:rPr>
              <w:t>;</w:t>
            </w:r>
          </w:p>
          <w:p w:rsidR="00833163" w:rsidRDefault="00833163" w:rsidP="00833163">
            <w:pPr>
              <w:pStyle w:val="ListParagraph"/>
              <w:numPr>
                <w:ilvl w:val="0"/>
                <w:numId w:val="19"/>
              </w:numPr>
              <w:spacing w:before="120" w:after="120" w:line="264" w:lineRule="auto"/>
              <w:ind w:left="301" w:hanging="3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w:t>
            </w:r>
            <w:r w:rsidRPr="00833163">
              <w:rPr>
                <w:rFonts w:ascii="Arial" w:hAnsi="Arial" w:cs="Arial"/>
                <w:sz w:val="18"/>
                <w:szCs w:val="18"/>
              </w:rPr>
              <w:t xml:space="preserve">ddress inaccurate and outdated </w:t>
            </w:r>
            <w:r>
              <w:rPr>
                <w:rFonts w:ascii="Arial" w:hAnsi="Arial" w:cs="Arial"/>
                <w:sz w:val="18"/>
                <w:szCs w:val="18"/>
              </w:rPr>
              <w:t>perceptions about the sector;</w:t>
            </w:r>
          </w:p>
          <w:p w:rsidR="000742B6" w:rsidRDefault="00833163" w:rsidP="00833163">
            <w:pPr>
              <w:pStyle w:val="ListParagraph"/>
              <w:numPr>
                <w:ilvl w:val="0"/>
                <w:numId w:val="19"/>
              </w:numPr>
              <w:spacing w:before="120" w:after="120" w:line="264" w:lineRule="auto"/>
              <w:ind w:left="301" w:hanging="3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w:t>
            </w:r>
            <w:r w:rsidRPr="007C27B0">
              <w:rPr>
                <w:rFonts w:ascii="Arial" w:hAnsi="Arial" w:cs="Arial"/>
                <w:sz w:val="18"/>
                <w:szCs w:val="18"/>
                <w:lang w:eastAsia="en-GB"/>
              </w:rPr>
              <w:t>mprov</w:t>
            </w:r>
            <w:r w:rsidR="00FF6631">
              <w:rPr>
                <w:rFonts w:ascii="Arial" w:hAnsi="Arial" w:cs="Arial"/>
                <w:sz w:val="18"/>
                <w:szCs w:val="18"/>
                <w:lang w:eastAsia="en-GB"/>
              </w:rPr>
              <w:t>e</w:t>
            </w:r>
            <w:r w:rsidRPr="007C27B0">
              <w:rPr>
                <w:rFonts w:ascii="Arial" w:hAnsi="Arial" w:cs="Arial"/>
                <w:sz w:val="18"/>
                <w:szCs w:val="18"/>
                <w:lang w:eastAsia="en-GB"/>
              </w:rPr>
              <w:t xml:space="preserve"> </w:t>
            </w:r>
            <w:r w:rsidRPr="007C27B0">
              <w:rPr>
                <w:rFonts w:ascii="Arial" w:hAnsi="Arial" w:cs="Arial"/>
                <w:bCs/>
                <w:sz w:val="18"/>
                <w:szCs w:val="18"/>
                <w:lang w:eastAsia="en-GB"/>
              </w:rPr>
              <w:t>parents’</w:t>
            </w:r>
            <w:r w:rsidRPr="007C27B0">
              <w:rPr>
                <w:rFonts w:ascii="Arial" w:hAnsi="Arial" w:cs="Arial"/>
                <w:sz w:val="18"/>
                <w:szCs w:val="18"/>
                <w:lang w:eastAsia="en-GB"/>
              </w:rPr>
              <w:t xml:space="preserve"> knowledge and understanding of </w:t>
            </w:r>
            <w:r w:rsidR="000E71D2">
              <w:rPr>
                <w:rFonts w:ascii="Arial" w:hAnsi="Arial" w:cs="Arial"/>
                <w:sz w:val="18"/>
                <w:szCs w:val="18"/>
                <w:lang w:eastAsia="en-GB"/>
              </w:rPr>
              <w:t xml:space="preserve">visitor economy </w:t>
            </w:r>
            <w:r w:rsidRPr="007C27B0">
              <w:rPr>
                <w:rFonts w:ascii="Arial" w:hAnsi="Arial" w:cs="Arial"/>
                <w:sz w:val="18"/>
                <w:szCs w:val="18"/>
                <w:lang w:eastAsia="en-GB"/>
              </w:rPr>
              <w:t xml:space="preserve">careers in </w:t>
            </w:r>
            <w:r w:rsidR="000E71D2">
              <w:rPr>
                <w:rFonts w:ascii="Arial" w:hAnsi="Arial" w:cs="Arial"/>
                <w:sz w:val="18"/>
                <w:szCs w:val="18"/>
                <w:lang w:eastAsia="en-GB"/>
              </w:rPr>
              <w:t>Lancashire</w:t>
            </w:r>
            <w:r w:rsidR="00326502">
              <w:rPr>
                <w:rFonts w:ascii="Arial" w:hAnsi="Arial" w:cs="Arial"/>
                <w:sz w:val="18"/>
                <w:szCs w:val="18"/>
                <w:lang w:eastAsia="en-GB"/>
              </w:rPr>
              <w:t>;</w:t>
            </w:r>
          </w:p>
          <w:p w:rsidR="00CD1713" w:rsidRPr="000742B6" w:rsidRDefault="000742B6" w:rsidP="000742B6">
            <w:pPr>
              <w:pStyle w:val="ListParagraph"/>
              <w:numPr>
                <w:ilvl w:val="0"/>
                <w:numId w:val="19"/>
              </w:numPr>
              <w:spacing w:before="120" w:after="120" w:line="264" w:lineRule="auto"/>
              <w:ind w:left="301" w:hanging="30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lang w:eastAsia="en-GB"/>
              </w:rPr>
              <w:t xml:space="preserve">Raise the profile and tackle misconceptions about apprenticeships in the sector. </w:t>
            </w:r>
            <w:r w:rsidR="00833163" w:rsidRPr="00833163">
              <w:rPr>
                <w:rFonts w:ascii="Arial" w:hAnsi="Arial" w:cs="Arial"/>
                <w:sz w:val="18"/>
                <w:szCs w:val="18"/>
              </w:rPr>
              <w:t xml:space="preserve">   </w:t>
            </w:r>
          </w:p>
          <w:p w:rsidR="00833163" w:rsidRPr="00833163" w:rsidRDefault="00833163" w:rsidP="00833163">
            <w:pPr>
              <w:spacing w:before="120" w:after="12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3163">
              <w:rPr>
                <w:rFonts w:ascii="Arial" w:hAnsi="Arial" w:cs="Arial"/>
                <w:sz w:val="18"/>
                <w:szCs w:val="18"/>
              </w:rPr>
              <w:t xml:space="preserve">The </w:t>
            </w:r>
            <w:r w:rsidRPr="00833163">
              <w:rPr>
                <w:rFonts w:ascii="Arial" w:hAnsi="Arial" w:cs="Arial"/>
                <w:i/>
                <w:sz w:val="18"/>
                <w:szCs w:val="18"/>
              </w:rPr>
              <w:t xml:space="preserve">I Care… Ambassador </w:t>
            </w:r>
            <w:r w:rsidRPr="00833163">
              <w:rPr>
                <w:rFonts w:ascii="Arial" w:hAnsi="Arial" w:cs="Arial"/>
                <w:sz w:val="18"/>
                <w:szCs w:val="18"/>
              </w:rPr>
              <w:t xml:space="preserve">programme (an initiative currently running in the adult social care sector) may be a useful point of reference.    </w:t>
            </w:r>
            <w:r w:rsidRPr="00833163">
              <w:rPr>
                <w:rFonts w:ascii="Arial" w:hAnsi="Arial" w:cs="Arial"/>
                <w:sz w:val="18"/>
                <w:szCs w:val="18"/>
                <w:lang w:val="en-US" w:eastAsia="en-GB"/>
              </w:rPr>
              <w:t xml:space="preserve"> </w:t>
            </w:r>
          </w:p>
        </w:tc>
        <w:tc>
          <w:tcPr>
            <w:tcW w:w="2268" w:type="dxa"/>
            <w:vMerge w:val="restart"/>
            <w:tcBorders>
              <w:top w:val="none" w:sz="0" w:space="0" w:color="auto"/>
              <w:left w:val="none" w:sz="0" w:space="0" w:color="auto"/>
              <w:bottom w:val="none" w:sz="0" w:space="0" w:color="auto"/>
              <w:right w:val="none" w:sz="0" w:space="0" w:color="auto"/>
            </w:tcBorders>
            <w:shd w:val="clear" w:color="auto" w:fill="A7BFDE"/>
            <w:vAlign w:val="center"/>
          </w:tcPr>
          <w:p w:rsidR="00833163" w:rsidRPr="007C27B0" w:rsidRDefault="000742B6"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Marketing Lancashire</w:t>
            </w:r>
          </w:p>
        </w:tc>
        <w:tc>
          <w:tcPr>
            <w:tcW w:w="2410" w:type="dxa"/>
            <w:tcBorders>
              <w:top w:val="none" w:sz="0" w:space="0" w:color="auto"/>
              <w:left w:val="none" w:sz="0" w:space="0" w:color="auto"/>
              <w:bottom w:val="none" w:sz="0" w:space="0" w:color="auto"/>
              <w:right w:val="none" w:sz="0" w:space="0" w:color="auto"/>
            </w:tcBorders>
            <w:shd w:val="clear" w:color="auto" w:fill="A7BFDE"/>
            <w:vAlign w:val="center"/>
          </w:tcPr>
          <w:p w:rsidR="00833163" w:rsidRPr="007C27B0" w:rsidRDefault="00833163"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Employers</w:t>
            </w:r>
          </w:p>
        </w:tc>
      </w:tr>
      <w:tr w:rsidR="00833163" w:rsidRPr="007C27B0" w:rsidTr="00427971">
        <w:trPr>
          <w:trHeight w:val="536"/>
        </w:trPr>
        <w:tc>
          <w:tcPr>
            <w:cnfStyle w:val="001000000000" w:firstRow="0" w:lastRow="0" w:firstColumn="1" w:lastColumn="0" w:oddVBand="0" w:evenVBand="0" w:oddHBand="0" w:evenHBand="0" w:firstRowFirstColumn="0" w:firstRowLastColumn="0" w:lastRowFirstColumn="0" w:lastRowLastColumn="0"/>
            <w:tcW w:w="832" w:type="dxa"/>
            <w:vMerge/>
            <w:tcBorders>
              <w:left w:val="none" w:sz="0" w:space="0" w:color="auto"/>
              <w:bottom w:val="none" w:sz="0" w:space="0" w:color="auto"/>
              <w:right w:val="none" w:sz="0" w:space="0" w:color="auto"/>
            </w:tcBorders>
            <w:shd w:val="clear" w:color="auto" w:fill="A7BFDE"/>
            <w:vAlign w:val="center"/>
          </w:tcPr>
          <w:p w:rsidR="00833163" w:rsidRPr="007C27B0" w:rsidRDefault="00833163" w:rsidP="00924146">
            <w:pPr>
              <w:spacing w:line="264" w:lineRule="auto"/>
              <w:jc w:val="center"/>
              <w:rPr>
                <w:rFonts w:ascii="Arial" w:hAnsi="Arial" w:cs="Arial"/>
                <w:color w:val="auto"/>
                <w:sz w:val="18"/>
                <w:szCs w:val="18"/>
                <w:lang w:eastAsia="en-GB"/>
              </w:rPr>
            </w:pPr>
          </w:p>
        </w:tc>
        <w:tc>
          <w:tcPr>
            <w:tcW w:w="8632" w:type="dxa"/>
            <w:vMerge/>
            <w:shd w:val="clear" w:color="auto" w:fill="A7BFDE"/>
            <w:vAlign w:val="center"/>
          </w:tcPr>
          <w:p w:rsidR="00833163" w:rsidRPr="007C27B0" w:rsidRDefault="00833163"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268" w:type="dxa"/>
            <w:vMerge/>
            <w:shd w:val="clear" w:color="auto" w:fill="A7BFDE"/>
            <w:vAlign w:val="center"/>
          </w:tcPr>
          <w:p w:rsidR="00833163" w:rsidRPr="007C27B0" w:rsidRDefault="00833163"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shd w:val="clear" w:color="auto" w:fill="A7BFDE"/>
            <w:vAlign w:val="center"/>
          </w:tcPr>
          <w:p w:rsidR="00833163" w:rsidRPr="007C27B0" w:rsidRDefault="000742B6"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r>
      <w:tr w:rsidR="009E21E1" w:rsidRPr="007C27B0" w:rsidTr="00427971">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832" w:type="dxa"/>
            <w:tcBorders>
              <w:top w:val="none" w:sz="0" w:space="0" w:color="auto"/>
              <w:left w:val="none" w:sz="0" w:space="0" w:color="auto"/>
              <w:bottom w:val="none" w:sz="0" w:space="0" w:color="auto"/>
              <w:right w:val="none" w:sz="0" w:space="0" w:color="auto"/>
            </w:tcBorders>
            <w:shd w:val="clear" w:color="auto" w:fill="D3DFEE"/>
            <w:vAlign w:val="center"/>
          </w:tcPr>
          <w:p w:rsidR="009E21E1" w:rsidRPr="007C27B0" w:rsidRDefault="009E21E1" w:rsidP="00924146">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P</w:t>
            </w:r>
            <w:r w:rsidR="007926B9">
              <w:rPr>
                <w:rFonts w:ascii="Arial" w:hAnsi="Arial" w:cs="Arial"/>
                <w:color w:val="auto"/>
                <w:sz w:val="18"/>
                <w:szCs w:val="18"/>
                <w:lang w:eastAsia="en-GB"/>
              </w:rPr>
              <w:t>3</w:t>
            </w:r>
          </w:p>
        </w:tc>
        <w:tc>
          <w:tcPr>
            <w:tcW w:w="8632" w:type="dxa"/>
            <w:tcBorders>
              <w:top w:val="none" w:sz="0" w:space="0" w:color="auto"/>
              <w:left w:val="none" w:sz="0" w:space="0" w:color="auto"/>
              <w:bottom w:val="none" w:sz="0" w:space="0" w:color="auto"/>
              <w:right w:val="none" w:sz="0" w:space="0" w:color="auto"/>
            </w:tcBorders>
            <w:shd w:val="clear" w:color="auto" w:fill="D3DFEE"/>
            <w:vAlign w:val="center"/>
          </w:tcPr>
          <w:p w:rsidR="009E21E1" w:rsidRPr="007C27B0" w:rsidRDefault="007926B9" w:rsidP="007926B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eastAsia="en-GB"/>
              </w:rPr>
            </w:pPr>
            <w:r>
              <w:rPr>
                <w:rFonts w:ascii="Arial" w:hAnsi="Arial" w:cs="Arial"/>
                <w:sz w:val="18"/>
                <w:szCs w:val="18"/>
                <w:lang w:val="en-US" w:eastAsia="en-GB"/>
              </w:rPr>
              <w:t>Working in partnership with other initiatives being developed in Lancashire, a</w:t>
            </w:r>
            <w:r w:rsidR="009E21E1">
              <w:rPr>
                <w:rFonts w:ascii="Arial" w:hAnsi="Arial" w:cs="Arial"/>
                <w:sz w:val="18"/>
                <w:szCs w:val="18"/>
                <w:lang w:val="en-US" w:eastAsia="en-GB"/>
              </w:rPr>
              <w:t xml:space="preserve">ppoint a </w:t>
            </w:r>
            <w:r w:rsidR="009E21E1">
              <w:rPr>
                <w:rFonts w:ascii="Arial" w:hAnsi="Arial" w:cs="Arial"/>
                <w:i/>
                <w:sz w:val="18"/>
                <w:szCs w:val="18"/>
                <w:lang w:val="en-US" w:eastAsia="en-GB"/>
              </w:rPr>
              <w:t xml:space="preserve">Visitor Economy Schools Champion </w:t>
            </w:r>
            <w:r w:rsidR="009E21E1">
              <w:rPr>
                <w:rFonts w:ascii="Arial" w:hAnsi="Arial" w:cs="Arial"/>
                <w:sz w:val="18"/>
                <w:szCs w:val="18"/>
                <w:lang w:val="en-US" w:eastAsia="en-GB"/>
              </w:rPr>
              <w:t xml:space="preserve">with responsibility for raising the profile of the visitor economy and the jobs and careers it offers within secondary schools. </w:t>
            </w:r>
            <w:r w:rsidR="00326502">
              <w:rPr>
                <w:rFonts w:ascii="Arial" w:hAnsi="Arial" w:cs="Arial"/>
                <w:sz w:val="18"/>
                <w:szCs w:val="18"/>
                <w:lang w:val="en-US" w:eastAsia="en-GB"/>
              </w:rPr>
              <w:t xml:space="preserve"> </w:t>
            </w:r>
            <w:r w:rsidR="009E21E1">
              <w:rPr>
                <w:rFonts w:ascii="Arial" w:hAnsi="Arial" w:cs="Arial"/>
                <w:sz w:val="18"/>
                <w:szCs w:val="18"/>
                <w:lang w:val="en-US" w:eastAsia="en-GB"/>
              </w:rPr>
              <w:t xml:space="preserve">    </w:t>
            </w:r>
          </w:p>
        </w:tc>
        <w:tc>
          <w:tcPr>
            <w:tcW w:w="2268" w:type="dxa"/>
            <w:tcBorders>
              <w:top w:val="none" w:sz="0" w:space="0" w:color="auto"/>
              <w:left w:val="none" w:sz="0" w:space="0" w:color="auto"/>
              <w:bottom w:val="none" w:sz="0" w:space="0" w:color="auto"/>
              <w:right w:val="none" w:sz="0" w:space="0" w:color="auto"/>
            </w:tcBorders>
            <w:shd w:val="clear" w:color="auto" w:fill="D3DFEE"/>
            <w:vAlign w:val="center"/>
          </w:tcPr>
          <w:p w:rsidR="009E21E1" w:rsidRPr="007C27B0" w:rsidRDefault="00FB702E"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c>
          <w:tcPr>
            <w:tcW w:w="2410" w:type="dxa"/>
            <w:tcBorders>
              <w:top w:val="none" w:sz="0" w:space="0" w:color="auto"/>
              <w:left w:val="none" w:sz="0" w:space="0" w:color="auto"/>
              <w:bottom w:val="none" w:sz="0" w:space="0" w:color="auto"/>
              <w:right w:val="none" w:sz="0" w:space="0" w:color="auto"/>
            </w:tcBorders>
            <w:shd w:val="clear" w:color="auto" w:fill="D3DFEE"/>
            <w:vAlign w:val="center"/>
          </w:tcPr>
          <w:p w:rsidR="009E21E1" w:rsidRPr="007C27B0" w:rsidRDefault="009E21E1"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Schools</w:t>
            </w:r>
          </w:p>
        </w:tc>
      </w:tr>
      <w:tr w:rsidR="00FB702E" w:rsidRPr="007C27B0" w:rsidTr="007926B9">
        <w:trPr>
          <w:trHeight w:val="1803"/>
        </w:trPr>
        <w:tc>
          <w:tcPr>
            <w:cnfStyle w:val="001000000000" w:firstRow="0" w:lastRow="0" w:firstColumn="1" w:lastColumn="0" w:oddVBand="0" w:evenVBand="0" w:oddHBand="0" w:evenHBand="0" w:firstRowFirstColumn="0" w:firstRowLastColumn="0" w:lastRowFirstColumn="0" w:lastRowLastColumn="0"/>
            <w:tcW w:w="832" w:type="dxa"/>
            <w:tcBorders>
              <w:left w:val="none" w:sz="0" w:space="0" w:color="auto"/>
              <w:bottom w:val="single" w:sz="8" w:space="0" w:color="FFFFFF" w:themeColor="background1"/>
              <w:right w:val="none" w:sz="0" w:space="0" w:color="auto"/>
            </w:tcBorders>
            <w:shd w:val="clear" w:color="auto" w:fill="A7BFDE"/>
            <w:vAlign w:val="center"/>
          </w:tcPr>
          <w:p w:rsidR="00FB702E" w:rsidRPr="007C27B0" w:rsidRDefault="00FB702E" w:rsidP="00924146">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P</w:t>
            </w:r>
            <w:r w:rsidR="007926B9">
              <w:rPr>
                <w:rFonts w:ascii="Arial" w:hAnsi="Arial" w:cs="Arial"/>
                <w:color w:val="auto"/>
                <w:sz w:val="18"/>
                <w:szCs w:val="18"/>
                <w:lang w:eastAsia="en-GB"/>
              </w:rPr>
              <w:t>4</w:t>
            </w:r>
          </w:p>
        </w:tc>
        <w:tc>
          <w:tcPr>
            <w:tcW w:w="8632" w:type="dxa"/>
            <w:tcBorders>
              <w:bottom w:val="single" w:sz="8" w:space="0" w:color="FFFFFF" w:themeColor="background1"/>
            </w:tcBorders>
            <w:shd w:val="clear" w:color="auto" w:fill="A7BFDE"/>
            <w:vAlign w:val="center"/>
          </w:tcPr>
          <w:p w:rsidR="00FB702E" w:rsidRPr="007C27B0" w:rsidRDefault="00FB702E" w:rsidP="00FF6631">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Linked to action P</w:t>
            </w:r>
            <w:r w:rsidR="007926B9">
              <w:rPr>
                <w:rFonts w:ascii="Arial" w:hAnsi="Arial" w:cs="Arial"/>
                <w:sz w:val="18"/>
                <w:szCs w:val="18"/>
                <w:lang w:eastAsia="en-GB"/>
              </w:rPr>
              <w:t>3</w:t>
            </w:r>
            <w:r>
              <w:rPr>
                <w:rFonts w:ascii="Arial" w:hAnsi="Arial" w:cs="Arial"/>
                <w:sz w:val="18"/>
                <w:szCs w:val="18"/>
                <w:lang w:eastAsia="en-GB"/>
              </w:rPr>
              <w:t>, recommend and actively promote t</w:t>
            </w:r>
            <w:r w:rsidRPr="00FB702E">
              <w:rPr>
                <w:rFonts w:ascii="Arial" w:hAnsi="Arial" w:cs="Arial"/>
                <w:sz w:val="18"/>
                <w:szCs w:val="18"/>
                <w:lang w:eastAsia="en-GB"/>
              </w:rPr>
              <w:t>he Hospitality Guild’s interactive career map</w:t>
            </w:r>
            <w:r>
              <w:rPr>
                <w:rStyle w:val="FootnoteReference"/>
                <w:rFonts w:ascii="Arial" w:hAnsi="Arial" w:cs="Arial"/>
                <w:sz w:val="18"/>
                <w:szCs w:val="18"/>
                <w:lang w:eastAsia="en-GB"/>
              </w:rPr>
              <w:footnoteReference w:id="54"/>
            </w:r>
            <w:r w:rsidRPr="00FB702E">
              <w:rPr>
                <w:rFonts w:ascii="Arial" w:hAnsi="Arial" w:cs="Arial"/>
                <w:sz w:val="18"/>
                <w:szCs w:val="18"/>
                <w:lang w:eastAsia="en-GB"/>
              </w:rPr>
              <w:t xml:space="preserve"> to schools, other skills providers and careers guidance professionals across the LEP area. The map captures the </w:t>
            </w:r>
            <w:r w:rsidRPr="00FB702E">
              <w:rPr>
                <w:rFonts w:ascii="Arial" w:hAnsi="Arial" w:cs="Arial"/>
                <w:sz w:val="18"/>
                <w:szCs w:val="18"/>
                <w:lang w:val="en-US" w:eastAsia="en-GB"/>
              </w:rPr>
              <w:t>huge variety of opportunities within hospitality and tourism, explains job roles, qualification requirements and career paths</w:t>
            </w:r>
            <w:r>
              <w:rPr>
                <w:rFonts w:ascii="Arial" w:hAnsi="Arial" w:cs="Arial"/>
                <w:sz w:val="18"/>
                <w:szCs w:val="18"/>
                <w:lang w:val="en-US" w:eastAsia="en-GB"/>
              </w:rPr>
              <w:t xml:space="preserve">. </w:t>
            </w:r>
            <w:r>
              <w:rPr>
                <w:rFonts w:ascii="Arial" w:hAnsi="Arial" w:cs="Arial"/>
                <w:sz w:val="18"/>
                <w:szCs w:val="18"/>
                <w:lang w:eastAsia="en-GB"/>
              </w:rPr>
              <w:t xml:space="preserve"> </w:t>
            </w:r>
          </w:p>
        </w:tc>
        <w:tc>
          <w:tcPr>
            <w:tcW w:w="2268" w:type="dxa"/>
            <w:tcBorders>
              <w:bottom w:val="single" w:sz="8" w:space="0" w:color="FFFFFF" w:themeColor="background1"/>
            </w:tcBorders>
            <w:shd w:val="clear" w:color="auto" w:fill="A7BFDE"/>
            <w:vAlign w:val="center"/>
          </w:tcPr>
          <w:p w:rsidR="00FB702E" w:rsidRPr="007C27B0" w:rsidRDefault="00FB702E"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Lancashire </w:t>
            </w:r>
            <w:r w:rsidRPr="007C27B0">
              <w:rPr>
                <w:rFonts w:ascii="Arial" w:hAnsi="Arial" w:cs="Arial"/>
                <w:sz w:val="18"/>
                <w:szCs w:val="18"/>
                <w:lang w:eastAsia="en-GB"/>
              </w:rPr>
              <w:t>LEP</w:t>
            </w:r>
            <w:r>
              <w:rPr>
                <w:rFonts w:ascii="Arial" w:hAnsi="Arial" w:cs="Arial"/>
                <w:sz w:val="18"/>
                <w:szCs w:val="18"/>
                <w:lang w:eastAsia="en-GB"/>
              </w:rPr>
              <w:t>/Schools Champion</w:t>
            </w:r>
            <w:r w:rsidRPr="007C27B0">
              <w:rPr>
                <w:rFonts w:ascii="Arial" w:hAnsi="Arial" w:cs="Arial"/>
                <w:sz w:val="18"/>
                <w:szCs w:val="18"/>
                <w:lang w:eastAsia="en-GB"/>
              </w:rPr>
              <w:t xml:space="preserve"> </w:t>
            </w:r>
          </w:p>
        </w:tc>
        <w:tc>
          <w:tcPr>
            <w:tcW w:w="2410" w:type="dxa"/>
            <w:tcBorders>
              <w:bottom w:val="single" w:sz="8" w:space="0" w:color="FFFFFF" w:themeColor="background1"/>
            </w:tcBorders>
            <w:shd w:val="clear" w:color="auto" w:fill="A7BFDE"/>
            <w:vAlign w:val="center"/>
          </w:tcPr>
          <w:p w:rsidR="00FB702E" w:rsidRPr="007C27B0" w:rsidRDefault="00FB702E"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The Hospitality Guild</w:t>
            </w:r>
          </w:p>
        </w:tc>
      </w:tr>
      <w:tr w:rsidR="00833163" w:rsidRPr="007C27B0" w:rsidTr="007926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32" w:type="dxa"/>
            <w:vMerge w:val="restart"/>
            <w:tcBorders>
              <w:top w:val="none" w:sz="0" w:space="0" w:color="auto"/>
              <w:left w:val="none" w:sz="0" w:space="0" w:color="auto"/>
              <w:bottom w:val="none" w:sz="0" w:space="0" w:color="auto"/>
              <w:right w:val="single" w:sz="8" w:space="0" w:color="FFFFFF" w:themeColor="background1"/>
            </w:tcBorders>
            <w:shd w:val="clear" w:color="auto" w:fill="D3DFEE"/>
            <w:vAlign w:val="center"/>
          </w:tcPr>
          <w:p w:rsidR="00833163" w:rsidRPr="007C27B0" w:rsidRDefault="00FB702E" w:rsidP="00924146">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lastRenderedPageBreak/>
              <w:t>P</w:t>
            </w:r>
            <w:r w:rsidR="007926B9">
              <w:rPr>
                <w:rFonts w:ascii="Arial" w:hAnsi="Arial" w:cs="Arial"/>
                <w:color w:val="auto"/>
                <w:sz w:val="18"/>
                <w:szCs w:val="18"/>
                <w:lang w:eastAsia="en-GB"/>
              </w:rPr>
              <w:t>5</w:t>
            </w:r>
          </w:p>
        </w:tc>
        <w:tc>
          <w:tcPr>
            <w:tcW w:w="8632" w:type="dxa"/>
            <w:vMerge w:val="restart"/>
            <w:tcBorders>
              <w:top w:val="none" w:sz="0" w:space="0" w:color="auto"/>
              <w:bottom w:val="none" w:sz="0" w:space="0" w:color="auto"/>
              <w:right w:val="none" w:sz="0" w:space="0" w:color="auto"/>
            </w:tcBorders>
            <w:shd w:val="clear" w:color="auto" w:fill="D3DFEE"/>
            <w:vAlign w:val="center"/>
          </w:tcPr>
          <w:p w:rsidR="00833163" w:rsidRPr="007C27B0" w:rsidRDefault="009D4C5D" w:rsidP="007926B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 xml:space="preserve">Actively promote Traineeships to employers in the visitor economy as a way of helping to address the shortage of suitable candidates for apprenticeships.  </w:t>
            </w:r>
          </w:p>
        </w:tc>
        <w:tc>
          <w:tcPr>
            <w:tcW w:w="2268" w:type="dxa"/>
            <w:vMerge w:val="restart"/>
            <w:tcBorders>
              <w:top w:val="none" w:sz="0" w:space="0" w:color="auto"/>
              <w:left w:val="none" w:sz="0" w:space="0" w:color="auto"/>
              <w:bottom w:val="none" w:sz="0" w:space="0" w:color="auto"/>
              <w:right w:val="none" w:sz="0" w:space="0" w:color="auto"/>
            </w:tcBorders>
            <w:shd w:val="clear" w:color="auto" w:fill="D3DFEE"/>
            <w:vAlign w:val="center"/>
          </w:tcPr>
          <w:p w:rsidR="00833163" w:rsidRPr="007C27B0" w:rsidRDefault="009D4C5D" w:rsidP="007926B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Skills providers (working with the </w:t>
            </w:r>
            <w:r w:rsidRPr="000742B6">
              <w:rPr>
                <w:rFonts w:ascii="Arial" w:hAnsi="Arial" w:cs="Arial"/>
                <w:i/>
                <w:sz w:val="18"/>
                <w:szCs w:val="18"/>
                <w:lang w:eastAsia="en-GB"/>
              </w:rPr>
              <w:t xml:space="preserve">Ambassador </w:t>
            </w:r>
            <w:r>
              <w:rPr>
                <w:rFonts w:ascii="Arial" w:hAnsi="Arial" w:cs="Arial"/>
                <w:sz w:val="18"/>
                <w:szCs w:val="18"/>
                <w:lang w:eastAsia="en-GB"/>
              </w:rPr>
              <w:t>programme when implemented)</w:t>
            </w:r>
          </w:p>
        </w:tc>
        <w:tc>
          <w:tcPr>
            <w:tcW w:w="2410" w:type="dxa"/>
            <w:tcBorders>
              <w:top w:val="none" w:sz="0" w:space="0" w:color="auto"/>
              <w:left w:val="none" w:sz="0" w:space="0" w:color="auto"/>
              <w:bottom w:val="none" w:sz="0" w:space="0" w:color="auto"/>
              <w:right w:val="none" w:sz="0" w:space="0" w:color="auto"/>
            </w:tcBorders>
            <w:shd w:val="clear" w:color="auto" w:fill="D3DFEE"/>
            <w:vAlign w:val="center"/>
          </w:tcPr>
          <w:p w:rsidR="00833163" w:rsidRPr="007C27B0" w:rsidRDefault="00D62296"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Schools</w:t>
            </w:r>
          </w:p>
        </w:tc>
      </w:tr>
      <w:tr w:rsidR="009D4C5D" w:rsidRPr="007C27B0" w:rsidTr="007926B9">
        <w:trPr>
          <w:trHeight w:val="827"/>
        </w:trPr>
        <w:tc>
          <w:tcPr>
            <w:cnfStyle w:val="001000000000" w:firstRow="0" w:lastRow="0" w:firstColumn="1" w:lastColumn="0" w:oddVBand="0" w:evenVBand="0" w:oddHBand="0" w:evenHBand="0" w:firstRowFirstColumn="0" w:firstRowLastColumn="0" w:lastRowFirstColumn="0" w:lastRowLastColumn="0"/>
            <w:tcW w:w="832" w:type="dxa"/>
            <w:vMerge/>
            <w:tcBorders>
              <w:left w:val="none" w:sz="0" w:space="0" w:color="auto"/>
              <w:bottom w:val="single" w:sz="8" w:space="0" w:color="FFFFFF" w:themeColor="background1"/>
              <w:right w:val="single" w:sz="8" w:space="0" w:color="FFFFFF" w:themeColor="background1"/>
            </w:tcBorders>
            <w:shd w:val="clear" w:color="auto" w:fill="D3DFEE"/>
            <w:vAlign w:val="center"/>
          </w:tcPr>
          <w:p w:rsidR="009D4C5D" w:rsidRPr="007C27B0" w:rsidRDefault="009D4C5D" w:rsidP="00924146">
            <w:pPr>
              <w:spacing w:line="264" w:lineRule="auto"/>
              <w:jc w:val="center"/>
              <w:rPr>
                <w:rFonts w:ascii="Arial" w:hAnsi="Arial" w:cs="Arial"/>
                <w:sz w:val="18"/>
                <w:szCs w:val="18"/>
                <w:lang w:eastAsia="en-GB"/>
              </w:rPr>
            </w:pPr>
          </w:p>
        </w:tc>
        <w:tc>
          <w:tcPr>
            <w:tcW w:w="8632" w:type="dxa"/>
            <w:vMerge/>
            <w:tcBorders>
              <w:left w:val="single" w:sz="8" w:space="0" w:color="FFFFFF" w:themeColor="background1"/>
              <w:bottom w:val="single" w:sz="8" w:space="0" w:color="FFFFFF" w:themeColor="background1"/>
            </w:tcBorders>
            <w:shd w:val="clear" w:color="auto" w:fill="D3DFEE"/>
            <w:vAlign w:val="center"/>
          </w:tcPr>
          <w:p w:rsidR="009D4C5D" w:rsidRPr="007C27B0" w:rsidRDefault="009D4C5D"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268" w:type="dxa"/>
            <w:vMerge/>
            <w:tcBorders>
              <w:bottom w:val="single" w:sz="8" w:space="0" w:color="FFFFFF" w:themeColor="background1"/>
            </w:tcBorders>
            <w:shd w:val="clear" w:color="auto" w:fill="D3DFEE"/>
            <w:vAlign w:val="center"/>
          </w:tcPr>
          <w:p w:rsidR="009D4C5D" w:rsidRPr="007C27B0" w:rsidRDefault="009D4C5D"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tcBorders>
              <w:bottom w:val="single" w:sz="8" w:space="0" w:color="FFFFFF" w:themeColor="background1"/>
            </w:tcBorders>
            <w:shd w:val="clear" w:color="auto" w:fill="D3DFEE"/>
            <w:vAlign w:val="center"/>
          </w:tcPr>
          <w:p w:rsidR="009D4C5D" w:rsidRPr="007C27B0" w:rsidRDefault="009D4C5D"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Marketing Lancashire</w:t>
            </w:r>
          </w:p>
        </w:tc>
      </w:tr>
      <w:tr w:rsidR="00833163" w:rsidRPr="007C27B0" w:rsidTr="007926B9">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832" w:type="dxa"/>
            <w:tcBorders>
              <w:left w:val="none" w:sz="0" w:space="0" w:color="auto"/>
              <w:bottom w:val="single" w:sz="8" w:space="0" w:color="FFFFFF" w:themeColor="background1"/>
              <w:right w:val="none" w:sz="0" w:space="0" w:color="auto"/>
            </w:tcBorders>
            <w:shd w:val="clear" w:color="auto" w:fill="A7BFDE"/>
            <w:vAlign w:val="center"/>
          </w:tcPr>
          <w:p w:rsidR="00833163" w:rsidRPr="007C27B0" w:rsidRDefault="009D4C5D" w:rsidP="00924146">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P</w:t>
            </w:r>
            <w:r w:rsidR="007926B9">
              <w:rPr>
                <w:rFonts w:ascii="Arial" w:hAnsi="Arial" w:cs="Arial"/>
                <w:color w:val="auto"/>
                <w:sz w:val="18"/>
                <w:szCs w:val="18"/>
                <w:lang w:eastAsia="en-GB"/>
              </w:rPr>
              <w:t>6</w:t>
            </w:r>
          </w:p>
        </w:tc>
        <w:tc>
          <w:tcPr>
            <w:tcW w:w="8632" w:type="dxa"/>
            <w:shd w:val="clear" w:color="auto" w:fill="A7BFDE"/>
            <w:vAlign w:val="center"/>
          </w:tcPr>
          <w:p w:rsidR="00833163" w:rsidRPr="007C27B0" w:rsidRDefault="00326502" w:rsidP="007926B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val="en-US" w:eastAsia="en-GB"/>
              </w:rPr>
              <w:t>E</w:t>
            </w:r>
            <w:r w:rsidR="009D4C5D">
              <w:rPr>
                <w:rFonts w:ascii="Arial" w:hAnsi="Arial" w:cs="Arial"/>
                <w:sz w:val="18"/>
                <w:szCs w:val="18"/>
                <w:lang w:val="en-US" w:eastAsia="en-GB"/>
              </w:rPr>
              <w:t xml:space="preserve">nsure that </w:t>
            </w:r>
            <w:r w:rsidR="007926B9">
              <w:rPr>
                <w:rFonts w:ascii="Arial" w:hAnsi="Arial" w:cs="Arial"/>
                <w:sz w:val="18"/>
                <w:szCs w:val="18"/>
                <w:lang w:val="en-US" w:eastAsia="en-GB"/>
              </w:rPr>
              <w:t xml:space="preserve">skills providers across the county are </w:t>
            </w:r>
            <w:r w:rsidR="009D4C5D">
              <w:rPr>
                <w:rFonts w:ascii="Arial" w:hAnsi="Arial" w:cs="Arial"/>
                <w:sz w:val="18"/>
                <w:szCs w:val="18"/>
                <w:lang w:val="en-US" w:eastAsia="en-GB"/>
              </w:rPr>
              <w:t xml:space="preserve">aware of, and </w:t>
            </w:r>
            <w:r w:rsidR="007926B9">
              <w:rPr>
                <w:rFonts w:ascii="Arial" w:hAnsi="Arial" w:cs="Arial"/>
                <w:sz w:val="18"/>
                <w:szCs w:val="18"/>
                <w:lang w:val="en-US" w:eastAsia="en-GB"/>
              </w:rPr>
              <w:t xml:space="preserve">are willing to </w:t>
            </w:r>
            <w:r w:rsidR="009D4C5D">
              <w:rPr>
                <w:rFonts w:ascii="Arial" w:hAnsi="Arial" w:cs="Arial"/>
                <w:sz w:val="18"/>
                <w:szCs w:val="18"/>
                <w:lang w:val="en-US" w:eastAsia="en-GB"/>
              </w:rPr>
              <w:t>take action on, employers’ growing concerns and disillusionment about the scarcity of suitable candidates for apprenticeships</w:t>
            </w:r>
            <w:r w:rsidR="007926B9">
              <w:rPr>
                <w:rFonts w:ascii="Arial" w:hAnsi="Arial" w:cs="Arial"/>
                <w:sz w:val="18"/>
                <w:szCs w:val="18"/>
                <w:lang w:val="en-US" w:eastAsia="en-GB"/>
              </w:rPr>
              <w:t xml:space="preserve"> (especially </w:t>
            </w:r>
            <w:r w:rsidR="009D4C5D">
              <w:rPr>
                <w:rFonts w:ascii="Arial" w:hAnsi="Arial" w:cs="Arial"/>
                <w:sz w:val="18"/>
                <w:szCs w:val="18"/>
                <w:lang w:val="en-US" w:eastAsia="en-GB"/>
              </w:rPr>
              <w:t>apprentice engineers and chefs</w:t>
            </w:r>
            <w:r w:rsidR="007926B9">
              <w:rPr>
                <w:rFonts w:ascii="Arial" w:hAnsi="Arial" w:cs="Arial"/>
                <w:sz w:val="18"/>
                <w:szCs w:val="18"/>
                <w:lang w:val="en-US" w:eastAsia="en-GB"/>
              </w:rPr>
              <w:t xml:space="preserve">). </w:t>
            </w:r>
            <w:r w:rsidR="009D4C5D">
              <w:rPr>
                <w:rFonts w:ascii="Arial" w:hAnsi="Arial" w:cs="Arial"/>
                <w:sz w:val="18"/>
                <w:szCs w:val="18"/>
                <w:lang w:val="en-US" w:eastAsia="en-GB"/>
              </w:rPr>
              <w:t xml:space="preserve">  </w:t>
            </w:r>
          </w:p>
        </w:tc>
        <w:tc>
          <w:tcPr>
            <w:tcW w:w="2268" w:type="dxa"/>
            <w:shd w:val="clear" w:color="auto" w:fill="A7BFDE"/>
            <w:vAlign w:val="center"/>
          </w:tcPr>
          <w:p w:rsidR="00833163" w:rsidRPr="007C27B0" w:rsidRDefault="007926B9"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Skills Hub</w:t>
            </w:r>
          </w:p>
        </w:tc>
        <w:tc>
          <w:tcPr>
            <w:tcW w:w="2410" w:type="dxa"/>
            <w:shd w:val="clear" w:color="auto" w:fill="A7BFDE"/>
            <w:vAlign w:val="center"/>
          </w:tcPr>
          <w:p w:rsidR="00833163" w:rsidRPr="007C27B0" w:rsidRDefault="007926B9"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r>
      <w:tr w:rsidR="00924146" w:rsidRPr="007C27B0" w:rsidTr="007926B9">
        <w:trPr>
          <w:trHeight w:val="463"/>
        </w:trPr>
        <w:tc>
          <w:tcPr>
            <w:cnfStyle w:val="001000000000" w:firstRow="0" w:lastRow="0" w:firstColumn="1" w:lastColumn="0" w:oddVBand="0" w:evenVBand="0" w:oddHBand="0" w:evenHBand="0" w:firstRowFirstColumn="0" w:firstRowLastColumn="0" w:lastRowFirstColumn="0" w:lastRowLastColumn="0"/>
            <w:tcW w:w="832" w:type="dxa"/>
            <w:vMerge w:val="restart"/>
            <w:tcBorders>
              <w:bottom w:val="single" w:sz="8" w:space="0" w:color="FFFFFF" w:themeColor="background1"/>
              <w:right w:val="single" w:sz="8" w:space="0" w:color="FFFFFF" w:themeColor="background1"/>
            </w:tcBorders>
            <w:shd w:val="clear" w:color="auto" w:fill="D3DFEE"/>
            <w:vAlign w:val="center"/>
          </w:tcPr>
          <w:p w:rsidR="00924146" w:rsidRPr="007C27B0" w:rsidRDefault="00924146" w:rsidP="00924146">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P</w:t>
            </w:r>
            <w:r w:rsidR="007926B9">
              <w:rPr>
                <w:rFonts w:ascii="Arial" w:hAnsi="Arial" w:cs="Arial"/>
                <w:color w:val="auto"/>
                <w:sz w:val="18"/>
                <w:szCs w:val="18"/>
                <w:lang w:eastAsia="en-GB"/>
              </w:rPr>
              <w:t>7</w:t>
            </w:r>
          </w:p>
        </w:tc>
        <w:tc>
          <w:tcPr>
            <w:tcW w:w="8632" w:type="dxa"/>
            <w:vMerge w:val="restart"/>
            <w:shd w:val="clear" w:color="auto" w:fill="D3DFEE"/>
            <w:vAlign w:val="center"/>
          </w:tcPr>
          <w:p w:rsidR="00924146" w:rsidRPr="007C27B0" w:rsidRDefault="00924146" w:rsidP="00D6229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eastAsia="en-GB"/>
              </w:rPr>
            </w:pPr>
            <w:r w:rsidRPr="00AE4921">
              <w:rPr>
                <w:rFonts w:ascii="Arial" w:hAnsi="Arial" w:cs="Arial"/>
                <w:sz w:val="18"/>
                <w:szCs w:val="18"/>
                <w:lang w:eastAsia="en-GB"/>
              </w:rPr>
              <w:t>Develop an employer-</w:t>
            </w:r>
            <w:r w:rsidRPr="00924146">
              <w:rPr>
                <w:rFonts w:ascii="Arial" w:hAnsi="Arial" w:cs="Arial"/>
                <w:sz w:val="18"/>
                <w:szCs w:val="18"/>
                <w:lang w:eastAsia="en-GB"/>
              </w:rPr>
              <w:t>led ‘employability chartermark’, drawing on</w:t>
            </w:r>
            <w:r w:rsidRPr="00AE4921">
              <w:rPr>
                <w:rFonts w:ascii="Arial" w:hAnsi="Arial" w:cs="Arial"/>
                <w:sz w:val="18"/>
                <w:szCs w:val="18"/>
                <w:lang w:eastAsia="en-GB"/>
              </w:rPr>
              <w:t xml:space="preserve"> examples of effective practice from elsewhere in England, to strengthen the alignment between employers’ requirements on work readiness and young people’s attributes.  </w:t>
            </w:r>
            <w:r w:rsidR="00D62296">
              <w:rPr>
                <w:rFonts w:ascii="Arial" w:hAnsi="Arial" w:cs="Arial"/>
                <w:sz w:val="18"/>
                <w:szCs w:val="18"/>
                <w:lang w:eastAsia="en-GB"/>
              </w:rPr>
              <w:t>T</w:t>
            </w:r>
            <w:r w:rsidRPr="00AE4921">
              <w:rPr>
                <w:rFonts w:ascii="Arial" w:hAnsi="Arial" w:cs="Arial"/>
                <w:sz w:val="18"/>
                <w:szCs w:val="18"/>
                <w:lang w:eastAsia="en-GB"/>
              </w:rPr>
              <w:t>he chartermark could also include agreements over access to work experience, up to date information on career routes, mock interviews and workplace visits.</w:t>
            </w:r>
          </w:p>
        </w:tc>
        <w:tc>
          <w:tcPr>
            <w:tcW w:w="2268" w:type="dxa"/>
            <w:vMerge w:val="restart"/>
            <w:shd w:val="clear" w:color="auto" w:fill="D3DFEE"/>
            <w:vAlign w:val="center"/>
          </w:tcPr>
          <w:p w:rsidR="00924146" w:rsidRPr="007C27B0" w:rsidRDefault="00924146" w:rsidP="006D6D68">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w:t>
            </w:r>
            <w:r w:rsidRPr="007C27B0">
              <w:rPr>
                <w:rFonts w:ascii="Arial" w:hAnsi="Arial" w:cs="Arial"/>
                <w:sz w:val="18"/>
                <w:szCs w:val="18"/>
                <w:lang w:eastAsia="en-GB"/>
              </w:rPr>
              <w:t xml:space="preserve"> </w:t>
            </w:r>
            <w:r w:rsidR="006D6D68">
              <w:rPr>
                <w:rFonts w:ascii="Arial" w:hAnsi="Arial" w:cs="Arial"/>
                <w:sz w:val="18"/>
                <w:szCs w:val="18"/>
                <w:lang w:eastAsia="en-GB"/>
              </w:rPr>
              <w:t>Skills Hub</w:t>
            </w:r>
          </w:p>
        </w:tc>
        <w:tc>
          <w:tcPr>
            <w:tcW w:w="2410" w:type="dxa"/>
            <w:shd w:val="clear" w:color="auto" w:fill="D3DFEE"/>
            <w:vAlign w:val="center"/>
          </w:tcPr>
          <w:p w:rsidR="00924146" w:rsidRPr="007C27B0" w:rsidRDefault="00924146"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 xml:space="preserve">Skills </w:t>
            </w:r>
            <w:r>
              <w:rPr>
                <w:rFonts w:ascii="Arial" w:hAnsi="Arial" w:cs="Arial"/>
                <w:sz w:val="18"/>
                <w:szCs w:val="18"/>
                <w:lang w:eastAsia="en-GB"/>
              </w:rPr>
              <w:t>providers</w:t>
            </w:r>
          </w:p>
        </w:tc>
      </w:tr>
      <w:tr w:rsidR="00924146" w:rsidRPr="007C27B0" w:rsidTr="007926B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32" w:type="dxa"/>
            <w:vMerge/>
            <w:tcBorders>
              <w:bottom w:val="single" w:sz="8" w:space="0" w:color="FFFFFF" w:themeColor="background1"/>
              <w:right w:val="single" w:sz="8" w:space="0" w:color="FFFFFF" w:themeColor="background1"/>
            </w:tcBorders>
            <w:shd w:val="clear" w:color="auto" w:fill="D3DFEE"/>
            <w:vAlign w:val="center"/>
          </w:tcPr>
          <w:p w:rsidR="00924146" w:rsidRDefault="00924146" w:rsidP="00924146">
            <w:pPr>
              <w:spacing w:line="264" w:lineRule="auto"/>
              <w:jc w:val="center"/>
              <w:rPr>
                <w:rFonts w:ascii="Arial" w:hAnsi="Arial" w:cs="Arial"/>
                <w:sz w:val="18"/>
                <w:szCs w:val="18"/>
                <w:lang w:eastAsia="en-GB"/>
              </w:rPr>
            </w:pPr>
          </w:p>
        </w:tc>
        <w:tc>
          <w:tcPr>
            <w:tcW w:w="8632" w:type="dxa"/>
            <w:vMerge/>
            <w:shd w:val="clear" w:color="auto" w:fill="D3DFEE"/>
            <w:vAlign w:val="center"/>
          </w:tcPr>
          <w:p w:rsidR="00924146" w:rsidRPr="00AE4921" w:rsidRDefault="00924146"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268" w:type="dxa"/>
            <w:vMerge/>
            <w:shd w:val="clear" w:color="auto" w:fill="D3DFEE"/>
            <w:vAlign w:val="center"/>
          </w:tcPr>
          <w:p w:rsidR="00924146" w:rsidRDefault="00924146"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410" w:type="dxa"/>
            <w:shd w:val="clear" w:color="auto" w:fill="D3DFEE"/>
            <w:vAlign w:val="center"/>
          </w:tcPr>
          <w:p w:rsidR="00924146" w:rsidRPr="007C27B0" w:rsidRDefault="00924146"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Schools</w:t>
            </w:r>
          </w:p>
        </w:tc>
      </w:tr>
      <w:tr w:rsidR="00924146" w:rsidRPr="007C27B0" w:rsidTr="007926B9">
        <w:trPr>
          <w:trHeight w:val="461"/>
        </w:trPr>
        <w:tc>
          <w:tcPr>
            <w:cnfStyle w:val="001000000000" w:firstRow="0" w:lastRow="0" w:firstColumn="1" w:lastColumn="0" w:oddVBand="0" w:evenVBand="0" w:oddHBand="0" w:evenHBand="0" w:firstRowFirstColumn="0" w:firstRowLastColumn="0" w:lastRowFirstColumn="0" w:lastRowLastColumn="0"/>
            <w:tcW w:w="832" w:type="dxa"/>
            <w:vMerge/>
            <w:tcBorders>
              <w:bottom w:val="single" w:sz="8" w:space="0" w:color="FFFFFF" w:themeColor="background1"/>
              <w:right w:val="single" w:sz="8" w:space="0" w:color="FFFFFF" w:themeColor="background1"/>
            </w:tcBorders>
            <w:shd w:val="clear" w:color="auto" w:fill="D3DFEE"/>
            <w:vAlign w:val="center"/>
          </w:tcPr>
          <w:p w:rsidR="00924146" w:rsidRDefault="00924146" w:rsidP="00924146">
            <w:pPr>
              <w:spacing w:line="264" w:lineRule="auto"/>
              <w:jc w:val="center"/>
              <w:rPr>
                <w:rFonts w:ascii="Arial" w:hAnsi="Arial" w:cs="Arial"/>
                <w:sz w:val="18"/>
                <w:szCs w:val="18"/>
                <w:lang w:eastAsia="en-GB"/>
              </w:rPr>
            </w:pPr>
          </w:p>
        </w:tc>
        <w:tc>
          <w:tcPr>
            <w:tcW w:w="8632" w:type="dxa"/>
            <w:vMerge/>
            <w:tcBorders>
              <w:bottom w:val="single" w:sz="8" w:space="0" w:color="FFFFFF" w:themeColor="background1"/>
            </w:tcBorders>
            <w:shd w:val="clear" w:color="auto" w:fill="D3DFEE"/>
            <w:vAlign w:val="center"/>
          </w:tcPr>
          <w:p w:rsidR="00924146" w:rsidRPr="00AE4921" w:rsidRDefault="00924146"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268" w:type="dxa"/>
            <w:vMerge/>
            <w:tcBorders>
              <w:bottom w:val="single" w:sz="8" w:space="0" w:color="FFFFFF" w:themeColor="background1"/>
            </w:tcBorders>
            <w:shd w:val="clear" w:color="auto" w:fill="D3DFEE"/>
            <w:vAlign w:val="center"/>
          </w:tcPr>
          <w:p w:rsidR="00924146" w:rsidRDefault="00924146"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tcBorders>
              <w:bottom w:val="single" w:sz="8" w:space="0" w:color="FFFFFF" w:themeColor="background1"/>
            </w:tcBorders>
            <w:shd w:val="clear" w:color="auto" w:fill="D3DFEE"/>
            <w:vAlign w:val="center"/>
          </w:tcPr>
          <w:p w:rsidR="00924146" w:rsidRPr="007C27B0" w:rsidRDefault="00924146"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Employers</w:t>
            </w:r>
          </w:p>
        </w:tc>
      </w:tr>
      <w:tr w:rsidR="003A785C" w:rsidRPr="007C27B0" w:rsidTr="007926B9">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832" w:type="dxa"/>
            <w:tcBorders>
              <w:bottom w:val="single" w:sz="8" w:space="0" w:color="FFFFFF" w:themeColor="background1"/>
              <w:right w:val="single" w:sz="8" w:space="0" w:color="FFFFFF" w:themeColor="background1"/>
            </w:tcBorders>
            <w:shd w:val="clear" w:color="auto" w:fill="A7BFDE"/>
            <w:vAlign w:val="center"/>
          </w:tcPr>
          <w:p w:rsidR="003A785C" w:rsidRDefault="003A785C" w:rsidP="00924146">
            <w:pPr>
              <w:spacing w:line="264" w:lineRule="auto"/>
              <w:jc w:val="center"/>
              <w:rPr>
                <w:rFonts w:ascii="Arial" w:hAnsi="Arial" w:cs="Arial"/>
                <w:sz w:val="18"/>
                <w:szCs w:val="18"/>
                <w:lang w:eastAsia="en-GB"/>
              </w:rPr>
            </w:pPr>
            <w:r w:rsidRPr="003A785C">
              <w:rPr>
                <w:rFonts w:ascii="Arial" w:hAnsi="Arial" w:cs="Arial"/>
                <w:color w:val="auto"/>
                <w:sz w:val="18"/>
                <w:szCs w:val="18"/>
                <w:lang w:eastAsia="en-GB"/>
              </w:rPr>
              <w:t>P</w:t>
            </w:r>
            <w:r w:rsidR="007926B9">
              <w:rPr>
                <w:rFonts w:ascii="Arial" w:hAnsi="Arial" w:cs="Arial"/>
                <w:color w:val="auto"/>
                <w:sz w:val="18"/>
                <w:szCs w:val="18"/>
                <w:lang w:eastAsia="en-GB"/>
              </w:rPr>
              <w:t>8</w:t>
            </w:r>
          </w:p>
        </w:tc>
        <w:tc>
          <w:tcPr>
            <w:tcW w:w="8632" w:type="dxa"/>
            <w:shd w:val="clear" w:color="auto" w:fill="A7BFDE"/>
            <w:vAlign w:val="center"/>
          </w:tcPr>
          <w:p w:rsidR="003A785C" w:rsidRPr="00AE4921" w:rsidRDefault="003A785C" w:rsidP="007926B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Explore options for compressing the </w:t>
            </w:r>
            <w:r w:rsidRPr="003A785C">
              <w:rPr>
                <w:rFonts w:ascii="Arial" w:hAnsi="Arial" w:cs="Arial"/>
                <w:sz w:val="18"/>
                <w:szCs w:val="18"/>
                <w:lang w:eastAsia="en-GB"/>
              </w:rPr>
              <w:t xml:space="preserve">delivery schedule for </w:t>
            </w:r>
            <w:r w:rsidR="007926B9">
              <w:rPr>
                <w:rFonts w:ascii="Arial" w:hAnsi="Arial" w:cs="Arial"/>
                <w:sz w:val="18"/>
                <w:szCs w:val="18"/>
                <w:lang w:eastAsia="en-GB"/>
              </w:rPr>
              <w:t xml:space="preserve">the Study Programme </w:t>
            </w:r>
            <w:r w:rsidRPr="003A785C">
              <w:rPr>
                <w:rFonts w:ascii="Arial" w:hAnsi="Arial" w:cs="Arial"/>
                <w:sz w:val="18"/>
                <w:szCs w:val="18"/>
                <w:lang w:eastAsia="en-GB"/>
              </w:rPr>
              <w:t>to be better aligned with employers’ recruitment needs</w:t>
            </w:r>
            <w:r>
              <w:rPr>
                <w:rFonts w:ascii="Arial" w:hAnsi="Arial" w:cs="Arial"/>
                <w:sz w:val="18"/>
                <w:szCs w:val="18"/>
                <w:lang w:eastAsia="en-GB"/>
              </w:rPr>
              <w:t>, i.e. starting after the end of the peak season and finishing before the onset of the peak season the following year</w:t>
            </w:r>
            <w:r w:rsidRPr="003A785C">
              <w:rPr>
                <w:rFonts w:ascii="Arial" w:hAnsi="Arial" w:cs="Arial"/>
                <w:sz w:val="18"/>
                <w:szCs w:val="18"/>
                <w:lang w:eastAsia="en-GB"/>
              </w:rPr>
              <w:t xml:space="preserve">.     </w:t>
            </w:r>
          </w:p>
        </w:tc>
        <w:tc>
          <w:tcPr>
            <w:tcW w:w="2268" w:type="dxa"/>
            <w:shd w:val="clear" w:color="auto" w:fill="A7BFDE"/>
            <w:vAlign w:val="center"/>
          </w:tcPr>
          <w:p w:rsidR="003A785C" w:rsidRDefault="003A785C"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c>
          <w:tcPr>
            <w:tcW w:w="2410" w:type="dxa"/>
            <w:shd w:val="clear" w:color="auto" w:fill="A7BFDE"/>
            <w:vAlign w:val="center"/>
          </w:tcPr>
          <w:p w:rsidR="003A785C" w:rsidRDefault="003A785C"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w:t>
            </w:r>
          </w:p>
        </w:tc>
      </w:tr>
      <w:tr w:rsidR="006D6D68" w:rsidRPr="006D6D68" w:rsidTr="007926B9">
        <w:trPr>
          <w:trHeight w:val="675"/>
        </w:trPr>
        <w:tc>
          <w:tcPr>
            <w:cnfStyle w:val="001000000000" w:firstRow="0" w:lastRow="0" w:firstColumn="1" w:lastColumn="0" w:oddVBand="0" w:evenVBand="0" w:oddHBand="0" w:evenHBand="0" w:firstRowFirstColumn="0" w:firstRowLastColumn="0" w:lastRowFirstColumn="0" w:lastRowLastColumn="0"/>
            <w:tcW w:w="832" w:type="dxa"/>
            <w:vMerge w:val="restart"/>
            <w:tcBorders>
              <w:bottom w:val="single" w:sz="8" w:space="0" w:color="FFFFFF" w:themeColor="background1"/>
              <w:right w:val="single" w:sz="8" w:space="0" w:color="FFFFFF" w:themeColor="background1"/>
            </w:tcBorders>
            <w:shd w:val="clear" w:color="auto" w:fill="D3DFEE"/>
            <w:vAlign w:val="center"/>
          </w:tcPr>
          <w:p w:rsidR="006D6D68" w:rsidRPr="006D6D68" w:rsidRDefault="006D6D68" w:rsidP="00924146">
            <w:pPr>
              <w:spacing w:line="264" w:lineRule="auto"/>
              <w:jc w:val="center"/>
              <w:rPr>
                <w:rFonts w:ascii="Arial" w:hAnsi="Arial" w:cs="Arial"/>
                <w:bCs w:val="0"/>
                <w:color w:val="auto"/>
                <w:sz w:val="18"/>
                <w:szCs w:val="18"/>
                <w:lang w:eastAsia="en-GB"/>
              </w:rPr>
            </w:pPr>
            <w:r w:rsidRPr="006D6D68">
              <w:rPr>
                <w:rFonts w:ascii="Arial" w:hAnsi="Arial" w:cs="Arial"/>
                <w:bCs w:val="0"/>
                <w:color w:val="auto"/>
                <w:sz w:val="18"/>
                <w:szCs w:val="18"/>
                <w:lang w:eastAsia="en-GB"/>
              </w:rPr>
              <w:t>P</w:t>
            </w:r>
            <w:r w:rsidR="007926B9">
              <w:rPr>
                <w:rFonts w:ascii="Arial" w:hAnsi="Arial" w:cs="Arial"/>
                <w:bCs w:val="0"/>
                <w:color w:val="auto"/>
                <w:sz w:val="18"/>
                <w:szCs w:val="18"/>
                <w:lang w:eastAsia="en-GB"/>
              </w:rPr>
              <w:t>9</w:t>
            </w:r>
          </w:p>
        </w:tc>
        <w:tc>
          <w:tcPr>
            <w:tcW w:w="8632" w:type="dxa"/>
            <w:vMerge w:val="restart"/>
            <w:tcBorders>
              <w:bottom w:val="single" w:sz="8" w:space="0" w:color="FFFFFF" w:themeColor="background1"/>
            </w:tcBorders>
            <w:shd w:val="clear" w:color="auto" w:fill="D3DFEE"/>
            <w:vAlign w:val="center"/>
          </w:tcPr>
          <w:p w:rsidR="006D6D68" w:rsidRDefault="006D6D68" w:rsidP="00FF663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Introduce a Sector Based Work Academy for the visitor economy to </w:t>
            </w:r>
            <w:r w:rsidRPr="006D6D68">
              <w:rPr>
                <w:rFonts w:ascii="Arial" w:hAnsi="Arial" w:cs="Arial"/>
                <w:sz w:val="18"/>
                <w:szCs w:val="18"/>
                <w:lang w:eastAsia="en-GB"/>
              </w:rPr>
              <w:t>recruit and train unemployed local people to fill employer</w:t>
            </w:r>
            <w:r w:rsidR="00FF6631">
              <w:rPr>
                <w:rFonts w:ascii="Arial" w:hAnsi="Arial" w:cs="Arial"/>
                <w:sz w:val="18"/>
                <w:szCs w:val="18"/>
                <w:lang w:eastAsia="en-GB"/>
              </w:rPr>
              <w:t>s’</w:t>
            </w:r>
            <w:r w:rsidRPr="006D6D68">
              <w:rPr>
                <w:rFonts w:ascii="Arial" w:hAnsi="Arial" w:cs="Arial"/>
                <w:sz w:val="18"/>
                <w:szCs w:val="18"/>
                <w:lang w:eastAsia="en-GB"/>
              </w:rPr>
              <w:t xml:space="preserve"> vacancies.</w:t>
            </w:r>
          </w:p>
        </w:tc>
        <w:tc>
          <w:tcPr>
            <w:tcW w:w="2268" w:type="dxa"/>
            <w:vMerge w:val="restart"/>
            <w:tcBorders>
              <w:bottom w:val="single" w:sz="8" w:space="0" w:color="FFFFFF" w:themeColor="background1"/>
            </w:tcBorders>
            <w:shd w:val="clear" w:color="auto" w:fill="D3DFEE"/>
            <w:vAlign w:val="center"/>
          </w:tcPr>
          <w:p w:rsidR="006D6D68" w:rsidRDefault="006D6D68"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Jobcentre Plus</w:t>
            </w:r>
          </w:p>
        </w:tc>
        <w:tc>
          <w:tcPr>
            <w:tcW w:w="2410" w:type="dxa"/>
            <w:tcBorders>
              <w:bottom w:val="single" w:sz="8" w:space="0" w:color="FFFFFF" w:themeColor="background1"/>
            </w:tcBorders>
            <w:shd w:val="clear" w:color="auto" w:fill="D3DFEE"/>
            <w:vAlign w:val="center"/>
          </w:tcPr>
          <w:p w:rsidR="006D6D68" w:rsidRDefault="006D6D68"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Local authorities</w:t>
            </w:r>
          </w:p>
        </w:tc>
      </w:tr>
      <w:tr w:rsidR="006D6D68" w:rsidRPr="006D6D68" w:rsidTr="007926B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832" w:type="dxa"/>
            <w:vMerge/>
            <w:tcBorders>
              <w:right w:val="single" w:sz="8" w:space="0" w:color="FFFFFF" w:themeColor="background1"/>
            </w:tcBorders>
            <w:shd w:val="clear" w:color="auto" w:fill="D3DFEE"/>
            <w:vAlign w:val="center"/>
          </w:tcPr>
          <w:p w:rsidR="006D6D68" w:rsidRPr="006D6D68" w:rsidRDefault="006D6D68" w:rsidP="00924146">
            <w:pPr>
              <w:spacing w:line="264" w:lineRule="auto"/>
              <w:jc w:val="center"/>
              <w:rPr>
                <w:rFonts w:ascii="Arial" w:hAnsi="Arial" w:cs="Arial"/>
                <w:b w:val="0"/>
                <w:bCs w:val="0"/>
                <w:sz w:val="18"/>
                <w:szCs w:val="18"/>
                <w:lang w:eastAsia="en-GB"/>
              </w:rPr>
            </w:pPr>
          </w:p>
        </w:tc>
        <w:tc>
          <w:tcPr>
            <w:tcW w:w="8632" w:type="dxa"/>
            <w:vMerge/>
            <w:shd w:val="clear" w:color="auto" w:fill="D3DFEE"/>
            <w:vAlign w:val="center"/>
          </w:tcPr>
          <w:p w:rsidR="006D6D68" w:rsidRDefault="006D6D68" w:rsidP="006D6D6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268" w:type="dxa"/>
            <w:vMerge/>
            <w:shd w:val="clear" w:color="auto" w:fill="D3DFEE"/>
            <w:vAlign w:val="center"/>
          </w:tcPr>
          <w:p w:rsidR="006D6D68" w:rsidRDefault="006D6D68"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410" w:type="dxa"/>
            <w:shd w:val="clear" w:color="auto" w:fill="D3DFEE"/>
            <w:vAlign w:val="center"/>
          </w:tcPr>
          <w:p w:rsidR="006D6D68" w:rsidRDefault="006D6D68"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r>
    </w:tbl>
    <w:p w:rsidR="007C27B0" w:rsidRPr="006D6D68" w:rsidRDefault="007C27B0" w:rsidP="007C27B0">
      <w:pPr>
        <w:rPr>
          <w:rFonts w:ascii="Arial" w:hAnsi="Arial" w:cs="Arial"/>
          <w:sz w:val="18"/>
          <w:szCs w:val="18"/>
          <w:lang w:eastAsia="en-GB"/>
        </w:rPr>
      </w:pPr>
    </w:p>
    <w:p w:rsidR="007C27B0" w:rsidRPr="006D6D68" w:rsidRDefault="007C27B0" w:rsidP="007C27B0">
      <w:pPr>
        <w:rPr>
          <w:rFonts w:ascii="Arial" w:hAnsi="Arial" w:cs="Arial"/>
          <w:sz w:val="18"/>
          <w:szCs w:val="18"/>
          <w:lang w:eastAsia="en-GB"/>
        </w:rPr>
      </w:pPr>
    </w:p>
    <w:p w:rsidR="00924146" w:rsidRDefault="00924146" w:rsidP="00924146">
      <w:pPr>
        <w:keepNext/>
        <w:pageBreakBefore/>
        <w:spacing w:before="240" w:after="240" w:line="360" w:lineRule="auto"/>
        <w:jc w:val="both"/>
        <w:outlineLvl w:val="0"/>
        <w:rPr>
          <w:lang w:eastAsia="en-GB"/>
        </w:rPr>
      </w:pPr>
      <w:bookmarkStart w:id="114" w:name="_Toc422907652"/>
      <w:bookmarkStart w:id="115" w:name="_Toc424128485"/>
      <w:r>
        <w:rPr>
          <w:rFonts w:ascii="Arial" w:hAnsi="Arial" w:cs="Arial"/>
          <w:b/>
          <w:bCs/>
          <w:color w:val="6C2768"/>
          <w:kern w:val="32"/>
          <w:sz w:val="28"/>
          <w:szCs w:val="32"/>
          <w:lang w:eastAsia="en-GB"/>
        </w:rPr>
        <w:lastRenderedPageBreak/>
        <w:t>Developing the Existing Workforce</w:t>
      </w:r>
      <w:bookmarkEnd w:id="114"/>
      <w:bookmarkEnd w:id="115"/>
      <w:r w:rsidR="00854427">
        <w:rPr>
          <w:rFonts w:ascii="Arial" w:hAnsi="Arial" w:cs="Arial"/>
          <w:b/>
          <w:bCs/>
          <w:color w:val="6C2768"/>
          <w:kern w:val="32"/>
          <w:sz w:val="28"/>
          <w:szCs w:val="32"/>
          <w:lang w:eastAsia="en-GB"/>
        </w:rPr>
        <w:t xml:space="preserve"> </w:t>
      </w:r>
      <w:r w:rsidR="007E7FB4">
        <w:rPr>
          <w:rFonts w:ascii="Arial" w:hAnsi="Arial" w:cs="Arial"/>
          <w:b/>
          <w:bCs/>
          <w:color w:val="6C2768"/>
          <w:kern w:val="32"/>
          <w:sz w:val="28"/>
          <w:szCs w:val="32"/>
          <w:lang w:eastAsia="en-GB"/>
        </w:rPr>
        <w:t xml:space="preserve"> </w:t>
      </w:r>
    </w:p>
    <w:tbl>
      <w:tblPr>
        <w:tblStyle w:val="MediumGrid3-Accent1"/>
        <w:tblW w:w="0" w:type="auto"/>
        <w:tblBorders>
          <w:insideH w:val="single" w:sz="8" w:space="0" w:color="FFFFFF" w:themeColor="background1"/>
          <w:insideV w:val="single" w:sz="8" w:space="0" w:color="FFFFFF" w:themeColor="background1"/>
        </w:tblBorders>
        <w:tblLook w:val="04A0" w:firstRow="1" w:lastRow="0" w:firstColumn="1" w:lastColumn="0" w:noHBand="0" w:noVBand="1"/>
      </w:tblPr>
      <w:tblGrid>
        <w:gridCol w:w="832"/>
        <w:gridCol w:w="8632"/>
        <w:gridCol w:w="2268"/>
        <w:gridCol w:w="2410"/>
      </w:tblGrid>
      <w:tr w:rsidR="00924146" w:rsidRPr="007C27B0" w:rsidTr="00924146">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832" w:type="dxa"/>
            <w:tcBorders>
              <w:top w:val="none" w:sz="0" w:space="0" w:color="auto"/>
              <w:left w:val="none" w:sz="0" w:space="0" w:color="auto"/>
              <w:bottom w:val="none" w:sz="0" w:space="0" w:color="auto"/>
              <w:right w:val="none" w:sz="0" w:space="0" w:color="auto"/>
            </w:tcBorders>
            <w:vAlign w:val="center"/>
          </w:tcPr>
          <w:p w:rsidR="00924146" w:rsidRPr="007C27B0" w:rsidRDefault="00924146" w:rsidP="00924146">
            <w:pPr>
              <w:jc w:val="center"/>
              <w:rPr>
                <w:rFonts w:ascii="Arial" w:hAnsi="Arial" w:cs="Arial"/>
                <w:sz w:val="18"/>
                <w:szCs w:val="18"/>
                <w:lang w:eastAsia="en-GB"/>
              </w:rPr>
            </w:pPr>
            <w:r w:rsidRPr="007C27B0">
              <w:rPr>
                <w:rFonts w:ascii="Arial" w:hAnsi="Arial" w:cs="Arial"/>
                <w:sz w:val="18"/>
                <w:szCs w:val="18"/>
                <w:lang w:eastAsia="en-GB"/>
              </w:rPr>
              <w:t>Ref.</w:t>
            </w:r>
          </w:p>
        </w:tc>
        <w:tc>
          <w:tcPr>
            <w:tcW w:w="8632" w:type="dxa"/>
            <w:tcBorders>
              <w:top w:val="none" w:sz="0" w:space="0" w:color="auto"/>
              <w:left w:val="none" w:sz="0" w:space="0" w:color="auto"/>
              <w:bottom w:val="none" w:sz="0" w:space="0" w:color="auto"/>
              <w:right w:val="none" w:sz="0" w:space="0" w:color="auto"/>
            </w:tcBorders>
            <w:vAlign w:val="center"/>
          </w:tcPr>
          <w:p w:rsidR="00924146" w:rsidRPr="007C27B0" w:rsidRDefault="00924146" w:rsidP="0092414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Action</w:t>
            </w:r>
          </w:p>
        </w:tc>
        <w:tc>
          <w:tcPr>
            <w:tcW w:w="2268" w:type="dxa"/>
            <w:tcBorders>
              <w:top w:val="none" w:sz="0" w:space="0" w:color="auto"/>
              <w:left w:val="none" w:sz="0" w:space="0" w:color="auto"/>
              <w:bottom w:val="none" w:sz="0" w:space="0" w:color="auto"/>
              <w:right w:val="none" w:sz="0" w:space="0" w:color="auto"/>
            </w:tcBorders>
            <w:vAlign w:val="center"/>
          </w:tcPr>
          <w:p w:rsidR="00924146" w:rsidRPr="007C27B0" w:rsidRDefault="00924146" w:rsidP="0092414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Lead</w:t>
            </w:r>
          </w:p>
        </w:tc>
        <w:tc>
          <w:tcPr>
            <w:tcW w:w="2410" w:type="dxa"/>
            <w:tcBorders>
              <w:top w:val="none" w:sz="0" w:space="0" w:color="auto"/>
              <w:left w:val="none" w:sz="0" w:space="0" w:color="auto"/>
              <w:bottom w:val="none" w:sz="0" w:space="0" w:color="auto"/>
              <w:right w:val="none" w:sz="0" w:space="0" w:color="auto"/>
            </w:tcBorders>
            <w:vAlign w:val="center"/>
          </w:tcPr>
          <w:p w:rsidR="00924146" w:rsidRPr="007C27B0" w:rsidRDefault="00924146" w:rsidP="0092414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Supporting</w:t>
            </w:r>
          </w:p>
        </w:tc>
      </w:tr>
      <w:tr w:rsidR="00924146" w:rsidRPr="007C27B0" w:rsidTr="00427971">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832" w:type="dxa"/>
            <w:vMerge w:val="restart"/>
            <w:tcBorders>
              <w:top w:val="none" w:sz="0" w:space="0" w:color="auto"/>
              <w:left w:val="none" w:sz="0" w:space="0" w:color="auto"/>
              <w:bottom w:val="none" w:sz="0" w:space="0" w:color="auto"/>
              <w:right w:val="none" w:sz="0" w:space="0" w:color="auto"/>
            </w:tcBorders>
            <w:shd w:val="clear" w:color="auto" w:fill="A7BFDE"/>
            <w:vAlign w:val="center"/>
          </w:tcPr>
          <w:p w:rsidR="00924146" w:rsidRPr="007C27B0" w:rsidRDefault="00EB1699" w:rsidP="00924146">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D1</w:t>
            </w:r>
          </w:p>
        </w:tc>
        <w:tc>
          <w:tcPr>
            <w:tcW w:w="8632" w:type="dxa"/>
            <w:vMerge w:val="restart"/>
            <w:tcBorders>
              <w:top w:val="none" w:sz="0" w:space="0" w:color="auto"/>
              <w:left w:val="none" w:sz="0" w:space="0" w:color="auto"/>
              <w:bottom w:val="none" w:sz="0" w:space="0" w:color="auto"/>
              <w:right w:val="none" w:sz="0" w:space="0" w:color="auto"/>
            </w:tcBorders>
            <w:shd w:val="clear" w:color="auto" w:fill="A7BFDE"/>
            <w:vAlign w:val="center"/>
          </w:tcPr>
          <w:p w:rsidR="00924146" w:rsidRPr="00833163" w:rsidRDefault="00EB1699" w:rsidP="00D62296">
            <w:pPr>
              <w:spacing w:before="120" w:after="12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Design and implement a project to support visitor economy employers (and especially SMEs) to improve their awareness and use of online sales</w:t>
            </w:r>
            <w:r w:rsidR="00D62296">
              <w:rPr>
                <w:rFonts w:ascii="Arial" w:hAnsi="Arial" w:cs="Arial"/>
                <w:sz w:val="18"/>
                <w:szCs w:val="18"/>
              </w:rPr>
              <w:t xml:space="preserve">, </w:t>
            </w:r>
            <w:r>
              <w:rPr>
                <w:rFonts w:ascii="Arial" w:hAnsi="Arial" w:cs="Arial"/>
                <w:sz w:val="18"/>
                <w:szCs w:val="18"/>
              </w:rPr>
              <w:t xml:space="preserve">marketing and social media.  </w:t>
            </w:r>
          </w:p>
        </w:tc>
        <w:tc>
          <w:tcPr>
            <w:tcW w:w="2268" w:type="dxa"/>
            <w:vMerge w:val="restart"/>
            <w:tcBorders>
              <w:top w:val="none" w:sz="0" w:space="0" w:color="auto"/>
              <w:left w:val="none" w:sz="0" w:space="0" w:color="auto"/>
              <w:bottom w:val="none" w:sz="0" w:space="0" w:color="auto"/>
              <w:right w:val="none" w:sz="0" w:space="0" w:color="auto"/>
            </w:tcBorders>
            <w:shd w:val="clear" w:color="auto" w:fill="A7BFDE"/>
            <w:vAlign w:val="center"/>
          </w:tcPr>
          <w:p w:rsidR="00924146" w:rsidRPr="007C27B0" w:rsidRDefault="00EB1699"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c>
          <w:tcPr>
            <w:tcW w:w="2410" w:type="dxa"/>
            <w:tcBorders>
              <w:top w:val="none" w:sz="0" w:space="0" w:color="auto"/>
              <w:left w:val="none" w:sz="0" w:space="0" w:color="auto"/>
              <w:bottom w:val="none" w:sz="0" w:space="0" w:color="auto"/>
              <w:right w:val="none" w:sz="0" w:space="0" w:color="auto"/>
            </w:tcBorders>
            <w:shd w:val="clear" w:color="auto" w:fill="A7BFDE"/>
            <w:vAlign w:val="center"/>
          </w:tcPr>
          <w:p w:rsidR="00924146" w:rsidRPr="007C27B0" w:rsidRDefault="00EB1699" w:rsidP="0092414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Funding Agency</w:t>
            </w:r>
          </w:p>
        </w:tc>
      </w:tr>
      <w:tr w:rsidR="00924146" w:rsidRPr="007C27B0" w:rsidTr="00427971">
        <w:trPr>
          <w:trHeight w:val="827"/>
        </w:trPr>
        <w:tc>
          <w:tcPr>
            <w:cnfStyle w:val="001000000000" w:firstRow="0" w:lastRow="0" w:firstColumn="1" w:lastColumn="0" w:oddVBand="0" w:evenVBand="0" w:oddHBand="0" w:evenHBand="0" w:firstRowFirstColumn="0" w:firstRowLastColumn="0" w:lastRowFirstColumn="0" w:lastRowLastColumn="0"/>
            <w:tcW w:w="832" w:type="dxa"/>
            <w:vMerge/>
            <w:tcBorders>
              <w:left w:val="none" w:sz="0" w:space="0" w:color="auto"/>
              <w:bottom w:val="single" w:sz="8" w:space="0" w:color="FFFFFF" w:themeColor="background1"/>
              <w:right w:val="none" w:sz="0" w:space="0" w:color="auto"/>
            </w:tcBorders>
            <w:shd w:val="clear" w:color="auto" w:fill="A7BFDE"/>
            <w:vAlign w:val="center"/>
          </w:tcPr>
          <w:p w:rsidR="00924146" w:rsidRPr="007C27B0" w:rsidRDefault="00924146" w:rsidP="00924146">
            <w:pPr>
              <w:spacing w:line="264" w:lineRule="auto"/>
              <w:jc w:val="center"/>
              <w:rPr>
                <w:rFonts w:ascii="Arial" w:hAnsi="Arial" w:cs="Arial"/>
                <w:color w:val="auto"/>
                <w:sz w:val="18"/>
                <w:szCs w:val="18"/>
                <w:lang w:eastAsia="en-GB"/>
              </w:rPr>
            </w:pPr>
          </w:p>
        </w:tc>
        <w:tc>
          <w:tcPr>
            <w:tcW w:w="8632" w:type="dxa"/>
            <w:vMerge/>
            <w:tcBorders>
              <w:bottom w:val="single" w:sz="8" w:space="0" w:color="FFFFFF" w:themeColor="background1"/>
            </w:tcBorders>
            <w:shd w:val="clear" w:color="auto" w:fill="A7BFDE"/>
            <w:vAlign w:val="center"/>
          </w:tcPr>
          <w:p w:rsidR="00924146" w:rsidRPr="007C27B0" w:rsidRDefault="00924146"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268" w:type="dxa"/>
            <w:vMerge/>
            <w:shd w:val="clear" w:color="auto" w:fill="A7BFDE"/>
            <w:vAlign w:val="center"/>
          </w:tcPr>
          <w:p w:rsidR="00924146" w:rsidRPr="007C27B0" w:rsidRDefault="00924146"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shd w:val="clear" w:color="auto" w:fill="A7BFDE"/>
            <w:vAlign w:val="center"/>
          </w:tcPr>
          <w:p w:rsidR="00924146" w:rsidRPr="007C27B0" w:rsidRDefault="00EB1699" w:rsidP="0092414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r>
      <w:tr w:rsidR="00EB1699" w:rsidRPr="007C27B0" w:rsidTr="0042797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832" w:type="dxa"/>
            <w:vMerge w:val="restart"/>
            <w:tcBorders>
              <w:bottom w:val="single" w:sz="8" w:space="0" w:color="FFFFFF" w:themeColor="background1"/>
              <w:right w:val="single" w:sz="8" w:space="0" w:color="FFFFFF" w:themeColor="background1"/>
            </w:tcBorders>
            <w:shd w:val="clear" w:color="auto" w:fill="D3DFEE"/>
            <w:vAlign w:val="center"/>
          </w:tcPr>
          <w:p w:rsidR="00EB1699" w:rsidRPr="007C27B0" w:rsidRDefault="00EB1699" w:rsidP="00854427">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D2</w:t>
            </w:r>
          </w:p>
        </w:tc>
        <w:tc>
          <w:tcPr>
            <w:tcW w:w="8632" w:type="dxa"/>
            <w:vMerge w:val="restart"/>
            <w:shd w:val="clear" w:color="auto" w:fill="D3DFEE"/>
            <w:vAlign w:val="center"/>
          </w:tcPr>
          <w:p w:rsidR="00EB1699" w:rsidRPr="00833163" w:rsidRDefault="00EB1699" w:rsidP="00D62296">
            <w:pPr>
              <w:spacing w:before="120" w:after="12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Design and implement a project to </w:t>
            </w:r>
            <w:r w:rsidR="00D62296">
              <w:rPr>
                <w:rFonts w:ascii="Arial" w:hAnsi="Arial" w:cs="Arial"/>
                <w:sz w:val="18"/>
                <w:szCs w:val="18"/>
              </w:rPr>
              <w:t xml:space="preserve">develop the leadership and management capabilities of </w:t>
            </w:r>
            <w:r>
              <w:rPr>
                <w:rFonts w:ascii="Arial" w:hAnsi="Arial" w:cs="Arial"/>
                <w:sz w:val="18"/>
                <w:szCs w:val="18"/>
              </w:rPr>
              <w:t>SMEs in the visitor economy</w:t>
            </w:r>
            <w:r w:rsidRPr="000145AB">
              <w:rPr>
                <w:rFonts w:ascii="Arial" w:hAnsi="Arial" w:cs="Arial"/>
                <w:sz w:val="18"/>
                <w:szCs w:val="18"/>
              </w:rPr>
              <w:t>, building on existing initiatives w</w:t>
            </w:r>
            <w:r>
              <w:rPr>
                <w:rFonts w:ascii="Arial" w:hAnsi="Arial" w:cs="Arial"/>
                <w:sz w:val="18"/>
                <w:szCs w:val="18"/>
              </w:rPr>
              <w:t>here they have been successful and drawing on local expertise (e.g.</w:t>
            </w:r>
            <w:r w:rsidR="00D62296">
              <w:rPr>
                <w:rFonts w:ascii="Arial" w:hAnsi="Arial" w:cs="Arial"/>
                <w:sz w:val="18"/>
                <w:szCs w:val="18"/>
              </w:rPr>
              <w:t xml:space="preserve"> the Lancashire Business School at UCLan).  </w:t>
            </w:r>
            <w:r w:rsidRPr="00834741">
              <w:rPr>
                <w:rFonts w:ascii="Arial" w:hAnsi="Arial" w:cs="Arial"/>
                <w:sz w:val="18"/>
                <w:szCs w:val="18"/>
              </w:rPr>
              <w:t xml:space="preserve">  </w:t>
            </w:r>
            <w:r>
              <w:rPr>
                <w:rFonts w:ascii="Arial" w:hAnsi="Arial" w:cs="Arial"/>
                <w:sz w:val="18"/>
                <w:szCs w:val="18"/>
              </w:rPr>
              <w:t xml:space="preserve"> </w:t>
            </w:r>
            <w:r w:rsidRPr="00833163">
              <w:rPr>
                <w:rFonts w:ascii="Arial" w:hAnsi="Arial" w:cs="Arial"/>
                <w:sz w:val="18"/>
                <w:szCs w:val="18"/>
              </w:rPr>
              <w:t xml:space="preserve">    </w:t>
            </w:r>
            <w:r w:rsidRPr="00833163">
              <w:rPr>
                <w:rFonts w:ascii="Arial" w:hAnsi="Arial" w:cs="Arial"/>
                <w:sz w:val="18"/>
                <w:szCs w:val="18"/>
                <w:lang w:val="en-US" w:eastAsia="en-GB"/>
              </w:rPr>
              <w:t xml:space="preserve"> </w:t>
            </w:r>
          </w:p>
        </w:tc>
        <w:tc>
          <w:tcPr>
            <w:tcW w:w="2268" w:type="dxa"/>
            <w:vMerge w:val="restart"/>
            <w:shd w:val="clear" w:color="auto" w:fill="D3DFEE"/>
            <w:vAlign w:val="center"/>
          </w:tcPr>
          <w:p w:rsidR="00EB1699" w:rsidRPr="007C27B0" w:rsidRDefault="00EB1699" w:rsidP="0085442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c>
          <w:tcPr>
            <w:tcW w:w="2410" w:type="dxa"/>
            <w:shd w:val="clear" w:color="auto" w:fill="D3DFEE"/>
            <w:vAlign w:val="center"/>
          </w:tcPr>
          <w:p w:rsidR="00EB1699" w:rsidRPr="007C27B0" w:rsidRDefault="00EB1699" w:rsidP="0085442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Funding Agency</w:t>
            </w:r>
          </w:p>
        </w:tc>
      </w:tr>
      <w:tr w:rsidR="00EB1699" w:rsidRPr="007C27B0" w:rsidTr="00427971">
        <w:trPr>
          <w:trHeight w:val="764"/>
        </w:trPr>
        <w:tc>
          <w:tcPr>
            <w:cnfStyle w:val="001000000000" w:firstRow="0" w:lastRow="0" w:firstColumn="1" w:lastColumn="0" w:oddVBand="0" w:evenVBand="0" w:oddHBand="0" w:evenHBand="0" w:firstRowFirstColumn="0" w:firstRowLastColumn="0" w:lastRowFirstColumn="0" w:lastRowLastColumn="0"/>
            <w:tcW w:w="832" w:type="dxa"/>
            <w:vMerge/>
            <w:tcBorders>
              <w:bottom w:val="single" w:sz="8" w:space="0" w:color="FFFFFF" w:themeColor="background1"/>
              <w:right w:val="single" w:sz="8" w:space="0" w:color="FFFFFF" w:themeColor="background1"/>
            </w:tcBorders>
            <w:shd w:val="clear" w:color="auto" w:fill="D3DFEE"/>
            <w:vAlign w:val="center"/>
          </w:tcPr>
          <w:p w:rsidR="00EB1699" w:rsidRDefault="00EB1699" w:rsidP="00854427">
            <w:pPr>
              <w:spacing w:line="264" w:lineRule="auto"/>
              <w:jc w:val="center"/>
              <w:rPr>
                <w:rFonts w:ascii="Arial" w:hAnsi="Arial" w:cs="Arial"/>
                <w:sz w:val="18"/>
                <w:szCs w:val="18"/>
                <w:lang w:eastAsia="en-GB"/>
              </w:rPr>
            </w:pPr>
          </w:p>
        </w:tc>
        <w:tc>
          <w:tcPr>
            <w:tcW w:w="8632" w:type="dxa"/>
            <w:vMerge/>
            <w:tcBorders>
              <w:left w:val="single" w:sz="8" w:space="0" w:color="FFFFFF" w:themeColor="background1"/>
              <w:bottom w:val="single" w:sz="8" w:space="0" w:color="FFFFFF" w:themeColor="background1"/>
            </w:tcBorders>
            <w:shd w:val="clear" w:color="auto" w:fill="D3DFEE"/>
            <w:vAlign w:val="center"/>
          </w:tcPr>
          <w:p w:rsidR="00EB1699" w:rsidRDefault="00EB1699" w:rsidP="00EB1699">
            <w:pPr>
              <w:spacing w:before="120" w:after="12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vMerge/>
            <w:shd w:val="clear" w:color="auto" w:fill="D3DFEE"/>
            <w:vAlign w:val="center"/>
          </w:tcPr>
          <w:p w:rsidR="00EB1699" w:rsidRDefault="00EB1699" w:rsidP="00854427">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shd w:val="clear" w:color="auto" w:fill="D3DFEE"/>
            <w:vAlign w:val="center"/>
          </w:tcPr>
          <w:p w:rsidR="00EB1699" w:rsidRPr="007C27B0" w:rsidRDefault="00EB1699" w:rsidP="00854427">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r>
      <w:tr w:rsidR="00854427" w:rsidRPr="007C27B0" w:rsidTr="00427971">
        <w:trPr>
          <w:cnfStyle w:val="000000100000" w:firstRow="0" w:lastRow="0" w:firstColumn="0" w:lastColumn="0" w:oddVBand="0" w:evenVBand="0" w:oddHBand="1" w:evenHBand="0"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832" w:type="dxa"/>
            <w:tcBorders>
              <w:left w:val="none" w:sz="0" w:space="0" w:color="auto"/>
              <w:bottom w:val="single" w:sz="8" w:space="0" w:color="FFFFFF" w:themeColor="background1"/>
              <w:right w:val="none" w:sz="0" w:space="0" w:color="auto"/>
            </w:tcBorders>
            <w:shd w:val="clear" w:color="auto" w:fill="A7BFDE"/>
            <w:vAlign w:val="center"/>
          </w:tcPr>
          <w:p w:rsidR="00854427" w:rsidRPr="007C27B0" w:rsidRDefault="007E7FB4" w:rsidP="00854427">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D3</w:t>
            </w:r>
          </w:p>
        </w:tc>
        <w:tc>
          <w:tcPr>
            <w:tcW w:w="8632" w:type="dxa"/>
            <w:shd w:val="clear" w:color="auto" w:fill="A7BFDE"/>
            <w:vAlign w:val="center"/>
          </w:tcPr>
          <w:p w:rsidR="00854427" w:rsidRPr="007C27B0" w:rsidRDefault="007E7FB4" w:rsidP="0092767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 xml:space="preserve">Working with key stakeholders in other sectors affected by </w:t>
            </w:r>
            <w:r w:rsidR="00D62296">
              <w:rPr>
                <w:rFonts w:ascii="Arial" w:hAnsi="Arial" w:cs="Arial"/>
                <w:sz w:val="18"/>
                <w:szCs w:val="18"/>
              </w:rPr>
              <w:t xml:space="preserve">a lack of public </w:t>
            </w:r>
            <w:r>
              <w:rPr>
                <w:rFonts w:ascii="Arial" w:hAnsi="Arial" w:cs="Arial"/>
                <w:sz w:val="18"/>
                <w:szCs w:val="18"/>
              </w:rPr>
              <w:t xml:space="preserve">transport as a barrier to work, explore options for introducing a cross-sector initiative, based on the </w:t>
            </w:r>
            <w:r w:rsidRPr="00B84D48">
              <w:rPr>
                <w:rFonts w:ascii="Arial" w:hAnsi="Arial" w:cs="Arial"/>
                <w:i/>
                <w:sz w:val="18"/>
                <w:szCs w:val="18"/>
              </w:rPr>
              <w:t>Wheels 2 Work</w:t>
            </w:r>
            <w:r>
              <w:rPr>
                <w:rFonts w:ascii="Arial" w:hAnsi="Arial" w:cs="Arial"/>
                <w:i/>
                <w:sz w:val="18"/>
                <w:szCs w:val="18"/>
              </w:rPr>
              <w:t xml:space="preserve"> </w:t>
            </w:r>
            <w:r>
              <w:rPr>
                <w:rFonts w:ascii="Arial" w:hAnsi="Arial" w:cs="Arial"/>
                <w:sz w:val="18"/>
                <w:szCs w:val="18"/>
              </w:rPr>
              <w:t xml:space="preserve">model, to help people access employment opportunities </w:t>
            </w:r>
            <w:r w:rsidR="00927679">
              <w:rPr>
                <w:rFonts w:ascii="Arial" w:hAnsi="Arial" w:cs="Arial"/>
                <w:sz w:val="18"/>
                <w:szCs w:val="18"/>
              </w:rPr>
              <w:t>that involve un</w:t>
            </w:r>
            <w:r>
              <w:rPr>
                <w:rFonts w:ascii="Arial" w:hAnsi="Arial" w:cs="Arial"/>
                <w:sz w:val="18"/>
                <w:szCs w:val="18"/>
              </w:rPr>
              <w:t xml:space="preserve">conventional working hours </w:t>
            </w:r>
            <w:r w:rsidR="00927679">
              <w:rPr>
                <w:rFonts w:ascii="Arial" w:hAnsi="Arial" w:cs="Arial"/>
                <w:sz w:val="18"/>
                <w:szCs w:val="18"/>
              </w:rPr>
              <w:t xml:space="preserve">and/or are in areas not well served by public transport.   </w:t>
            </w:r>
            <w:r>
              <w:rPr>
                <w:rFonts w:ascii="Arial" w:hAnsi="Arial" w:cs="Arial"/>
                <w:sz w:val="18"/>
                <w:szCs w:val="18"/>
              </w:rPr>
              <w:t xml:space="preserve"> </w:t>
            </w:r>
          </w:p>
        </w:tc>
        <w:tc>
          <w:tcPr>
            <w:tcW w:w="2268" w:type="dxa"/>
            <w:shd w:val="clear" w:color="auto" w:fill="A7BFDE"/>
            <w:vAlign w:val="center"/>
          </w:tcPr>
          <w:p w:rsidR="00854427" w:rsidRPr="007C27B0" w:rsidRDefault="00D62296" w:rsidP="0085442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c>
          <w:tcPr>
            <w:tcW w:w="2410" w:type="dxa"/>
            <w:shd w:val="clear" w:color="auto" w:fill="A7BFDE"/>
            <w:vAlign w:val="center"/>
          </w:tcPr>
          <w:p w:rsidR="00854427" w:rsidRPr="007C27B0" w:rsidRDefault="00D62296" w:rsidP="0085442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Jobcentre Plus/Department for Work and Pensions</w:t>
            </w:r>
          </w:p>
        </w:tc>
      </w:tr>
      <w:tr w:rsidR="00854427" w:rsidRPr="007C27B0" w:rsidTr="00427971">
        <w:trPr>
          <w:trHeight w:val="821"/>
        </w:trPr>
        <w:tc>
          <w:tcPr>
            <w:cnfStyle w:val="001000000000" w:firstRow="0" w:lastRow="0" w:firstColumn="1" w:lastColumn="0" w:oddVBand="0" w:evenVBand="0" w:oddHBand="0" w:evenHBand="0" w:firstRowFirstColumn="0" w:firstRowLastColumn="0" w:lastRowFirstColumn="0" w:lastRowLastColumn="0"/>
            <w:tcW w:w="832" w:type="dxa"/>
            <w:vMerge w:val="restart"/>
            <w:tcBorders>
              <w:left w:val="none" w:sz="0" w:space="0" w:color="auto"/>
              <w:bottom w:val="none" w:sz="0" w:space="0" w:color="auto"/>
              <w:right w:val="single" w:sz="8" w:space="0" w:color="FFFFFF" w:themeColor="background1"/>
            </w:tcBorders>
            <w:shd w:val="clear" w:color="auto" w:fill="D3DFEE"/>
            <w:vAlign w:val="center"/>
          </w:tcPr>
          <w:p w:rsidR="00854427" w:rsidRPr="007C27B0" w:rsidRDefault="00927679" w:rsidP="00854427">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D4</w:t>
            </w:r>
          </w:p>
        </w:tc>
        <w:tc>
          <w:tcPr>
            <w:tcW w:w="8632" w:type="dxa"/>
            <w:vMerge w:val="restart"/>
            <w:shd w:val="clear" w:color="auto" w:fill="D3DFEE"/>
            <w:vAlign w:val="center"/>
          </w:tcPr>
          <w:p w:rsidR="00854427" w:rsidRPr="007C27B0" w:rsidRDefault="00927679" w:rsidP="007926B9">
            <w:pPr>
              <w:spacing w:before="12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Ensure that </w:t>
            </w:r>
            <w:r w:rsidR="007926B9">
              <w:rPr>
                <w:rFonts w:ascii="Arial" w:hAnsi="Arial" w:cs="Arial"/>
                <w:sz w:val="18"/>
                <w:szCs w:val="18"/>
                <w:lang w:eastAsia="en-GB"/>
              </w:rPr>
              <w:t xml:space="preserve">ESF project specifications for workforce development schemes explicitly mention the visitor economy as a priority sector.  </w:t>
            </w:r>
          </w:p>
        </w:tc>
        <w:tc>
          <w:tcPr>
            <w:tcW w:w="2268" w:type="dxa"/>
            <w:vMerge w:val="restart"/>
            <w:shd w:val="clear" w:color="auto" w:fill="D3DFEE"/>
            <w:vAlign w:val="center"/>
          </w:tcPr>
          <w:p w:rsidR="00854427" w:rsidRPr="007C27B0" w:rsidRDefault="003A785C" w:rsidP="00854427">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c>
          <w:tcPr>
            <w:tcW w:w="2410" w:type="dxa"/>
            <w:shd w:val="clear" w:color="auto" w:fill="D3DFEE"/>
            <w:vAlign w:val="center"/>
          </w:tcPr>
          <w:p w:rsidR="00854427" w:rsidRPr="007C27B0" w:rsidRDefault="003A785C" w:rsidP="00854427">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Funding Agency</w:t>
            </w:r>
          </w:p>
        </w:tc>
      </w:tr>
      <w:tr w:rsidR="00854427" w:rsidRPr="007C27B0" w:rsidTr="00427971">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832" w:type="dxa"/>
            <w:vMerge/>
            <w:tcBorders>
              <w:left w:val="none" w:sz="0" w:space="0" w:color="auto"/>
              <w:bottom w:val="single" w:sz="8" w:space="0" w:color="FFFFFF" w:themeColor="background1"/>
              <w:right w:val="single" w:sz="8" w:space="0" w:color="FFFFFF" w:themeColor="background1"/>
            </w:tcBorders>
            <w:shd w:val="clear" w:color="auto" w:fill="D3DFEE"/>
            <w:vAlign w:val="center"/>
          </w:tcPr>
          <w:p w:rsidR="00854427" w:rsidRPr="007C27B0" w:rsidRDefault="00854427" w:rsidP="00854427">
            <w:pPr>
              <w:spacing w:line="264" w:lineRule="auto"/>
              <w:jc w:val="center"/>
              <w:rPr>
                <w:rFonts w:ascii="Arial" w:hAnsi="Arial" w:cs="Arial"/>
                <w:sz w:val="18"/>
                <w:szCs w:val="18"/>
                <w:lang w:eastAsia="en-GB"/>
              </w:rPr>
            </w:pPr>
          </w:p>
        </w:tc>
        <w:tc>
          <w:tcPr>
            <w:tcW w:w="8632" w:type="dxa"/>
            <w:vMerge/>
            <w:shd w:val="clear" w:color="auto" w:fill="D3DFEE"/>
            <w:vAlign w:val="center"/>
          </w:tcPr>
          <w:p w:rsidR="00854427" w:rsidRPr="007C27B0" w:rsidRDefault="00854427" w:rsidP="0085442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268" w:type="dxa"/>
            <w:vMerge/>
            <w:shd w:val="clear" w:color="auto" w:fill="D3DFEE"/>
            <w:vAlign w:val="center"/>
          </w:tcPr>
          <w:p w:rsidR="00854427" w:rsidRPr="007C27B0" w:rsidRDefault="00854427" w:rsidP="0085442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410" w:type="dxa"/>
            <w:shd w:val="clear" w:color="auto" w:fill="D3DFEE"/>
            <w:vAlign w:val="center"/>
          </w:tcPr>
          <w:p w:rsidR="00854427" w:rsidRPr="007C27B0" w:rsidRDefault="003A785C" w:rsidP="0085442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r>
      <w:tr w:rsidR="00854427" w:rsidRPr="007C27B0" w:rsidTr="006D6D68">
        <w:trPr>
          <w:trHeight w:val="1406"/>
        </w:trPr>
        <w:tc>
          <w:tcPr>
            <w:cnfStyle w:val="001000000000" w:firstRow="0" w:lastRow="0" w:firstColumn="1" w:lastColumn="0" w:oddVBand="0" w:evenVBand="0" w:oddHBand="0" w:evenHBand="0" w:firstRowFirstColumn="0" w:firstRowLastColumn="0" w:lastRowFirstColumn="0" w:lastRowLastColumn="0"/>
            <w:tcW w:w="832" w:type="dxa"/>
            <w:tcBorders>
              <w:left w:val="none" w:sz="0" w:space="0" w:color="auto"/>
              <w:bottom w:val="single" w:sz="8" w:space="0" w:color="FFFFFF" w:themeColor="background1"/>
              <w:right w:val="none" w:sz="0" w:space="0" w:color="auto"/>
            </w:tcBorders>
            <w:shd w:val="clear" w:color="auto" w:fill="A7BFDE"/>
            <w:vAlign w:val="center"/>
          </w:tcPr>
          <w:p w:rsidR="00854427" w:rsidRPr="007C27B0" w:rsidRDefault="006D6D68" w:rsidP="00854427">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lastRenderedPageBreak/>
              <w:t>D5</w:t>
            </w:r>
          </w:p>
        </w:tc>
        <w:tc>
          <w:tcPr>
            <w:tcW w:w="8632" w:type="dxa"/>
            <w:tcBorders>
              <w:bottom w:val="single" w:sz="8" w:space="0" w:color="FFFFFF" w:themeColor="background1"/>
            </w:tcBorders>
            <w:shd w:val="clear" w:color="auto" w:fill="A7BFDE"/>
            <w:vAlign w:val="center"/>
          </w:tcPr>
          <w:p w:rsidR="00854427" w:rsidRPr="007C27B0" w:rsidRDefault="006D6D68" w:rsidP="007926B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Ensure that visitor economy employers are a priority group for the </w:t>
            </w:r>
            <w:r w:rsidR="007926B9">
              <w:rPr>
                <w:rFonts w:ascii="Arial" w:hAnsi="Arial" w:cs="Arial"/>
                <w:sz w:val="18"/>
                <w:szCs w:val="18"/>
                <w:lang w:eastAsia="en-GB"/>
              </w:rPr>
              <w:t>proposed</w:t>
            </w:r>
            <w:r>
              <w:rPr>
                <w:rFonts w:ascii="Arial" w:hAnsi="Arial" w:cs="Arial"/>
                <w:sz w:val="18"/>
                <w:szCs w:val="18"/>
                <w:lang w:eastAsia="en-GB"/>
              </w:rPr>
              <w:t xml:space="preserve"> Lancashire Skills Pledge</w:t>
            </w:r>
          </w:p>
        </w:tc>
        <w:tc>
          <w:tcPr>
            <w:tcW w:w="2268" w:type="dxa"/>
            <w:tcBorders>
              <w:bottom w:val="single" w:sz="8" w:space="0" w:color="FFFFFF" w:themeColor="background1"/>
            </w:tcBorders>
            <w:shd w:val="clear" w:color="auto" w:fill="A7BFDE"/>
            <w:vAlign w:val="center"/>
          </w:tcPr>
          <w:p w:rsidR="00854427" w:rsidRPr="007C27B0" w:rsidRDefault="006D6D68" w:rsidP="00854427">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Skills Hub</w:t>
            </w:r>
          </w:p>
        </w:tc>
        <w:tc>
          <w:tcPr>
            <w:tcW w:w="2410" w:type="dxa"/>
            <w:tcBorders>
              <w:bottom w:val="single" w:sz="8" w:space="0" w:color="FFFFFF" w:themeColor="background1"/>
            </w:tcBorders>
            <w:shd w:val="clear" w:color="auto" w:fill="A7BFDE"/>
            <w:vAlign w:val="center"/>
          </w:tcPr>
          <w:p w:rsidR="00854427" w:rsidRPr="007C27B0" w:rsidRDefault="006D6D68" w:rsidP="00854427">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w:t>
            </w:r>
          </w:p>
        </w:tc>
      </w:tr>
      <w:tr w:rsidR="006D6D68" w:rsidRPr="007C27B0" w:rsidTr="006D6D68">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832" w:type="dxa"/>
            <w:tcBorders>
              <w:right w:val="single" w:sz="8" w:space="0" w:color="FFFFFF" w:themeColor="background1"/>
            </w:tcBorders>
            <w:shd w:val="clear" w:color="auto" w:fill="D3DFEE"/>
            <w:vAlign w:val="center"/>
          </w:tcPr>
          <w:p w:rsidR="006D6D68" w:rsidRPr="007C27B0" w:rsidRDefault="006D6D68" w:rsidP="00712619">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D6</w:t>
            </w:r>
          </w:p>
        </w:tc>
        <w:tc>
          <w:tcPr>
            <w:tcW w:w="8632" w:type="dxa"/>
            <w:shd w:val="clear" w:color="auto" w:fill="D3DFEE"/>
            <w:vAlign w:val="center"/>
          </w:tcPr>
          <w:p w:rsidR="006D6D68" w:rsidRPr="007C27B0" w:rsidRDefault="006D6D68" w:rsidP="007926B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Develop local case studies and testimonials from Lancashire’s visitor economy employers (including SMEs) to showcase the benefits of </w:t>
            </w:r>
            <w:r w:rsidR="007926B9">
              <w:rPr>
                <w:rFonts w:ascii="Arial" w:hAnsi="Arial" w:cs="Arial"/>
                <w:sz w:val="18"/>
                <w:szCs w:val="18"/>
                <w:lang w:eastAsia="en-GB"/>
              </w:rPr>
              <w:t xml:space="preserve">good quality </w:t>
            </w:r>
            <w:r>
              <w:rPr>
                <w:rFonts w:ascii="Arial" w:hAnsi="Arial" w:cs="Arial"/>
                <w:sz w:val="18"/>
                <w:szCs w:val="18"/>
                <w:lang w:eastAsia="en-GB"/>
              </w:rPr>
              <w:t xml:space="preserve">customer service training.  Publicise these materials as widely as possible through existing networks and employer engagement activities.  </w:t>
            </w:r>
          </w:p>
        </w:tc>
        <w:tc>
          <w:tcPr>
            <w:tcW w:w="2268" w:type="dxa"/>
            <w:shd w:val="clear" w:color="auto" w:fill="D3DFEE"/>
            <w:vAlign w:val="center"/>
          </w:tcPr>
          <w:p w:rsidR="006D6D68" w:rsidRPr="007C27B0" w:rsidRDefault="006D6D68" w:rsidP="0071261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c>
          <w:tcPr>
            <w:tcW w:w="2410" w:type="dxa"/>
            <w:shd w:val="clear" w:color="auto" w:fill="D3DFEE"/>
            <w:vAlign w:val="center"/>
          </w:tcPr>
          <w:p w:rsidR="006D6D68" w:rsidRPr="007C27B0" w:rsidRDefault="006D6D68" w:rsidP="0071261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Marketing Lancashire</w:t>
            </w:r>
          </w:p>
        </w:tc>
      </w:tr>
      <w:tr w:rsidR="006D6D68" w:rsidRPr="007C27B0" w:rsidTr="006D6D68">
        <w:trPr>
          <w:trHeight w:val="470"/>
        </w:trPr>
        <w:tc>
          <w:tcPr>
            <w:cnfStyle w:val="001000000000" w:firstRow="0" w:lastRow="0" w:firstColumn="1" w:lastColumn="0" w:oddVBand="0" w:evenVBand="0" w:oddHBand="0" w:evenHBand="0" w:firstRowFirstColumn="0" w:firstRowLastColumn="0" w:lastRowFirstColumn="0" w:lastRowLastColumn="0"/>
            <w:tcW w:w="832" w:type="dxa"/>
            <w:vMerge w:val="restart"/>
            <w:tcBorders>
              <w:right w:val="single" w:sz="8" w:space="0" w:color="FFFFFF" w:themeColor="background1"/>
            </w:tcBorders>
            <w:shd w:val="clear" w:color="auto" w:fill="A7BFDE"/>
            <w:vAlign w:val="center"/>
          </w:tcPr>
          <w:p w:rsidR="006D6D68" w:rsidRPr="006D6D68" w:rsidRDefault="006D6D68" w:rsidP="00712619">
            <w:pPr>
              <w:spacing w:line="264" w:lineRule="auto"/>
              <w:jc w:val="center"/>
              <w:rPr>
                <w:rFonts w:ascii="Arial" w:hAnsi="Arial" w:cs="Arial"/>
                <w:color w:val="auto"/>
                <w:sz w:val="18"/>
                <w:szCs w:val="18"/>
                <w:lang w:eastAsia="en-GB"/>
              </w:rPr>
            </w:pPr>
            <w:r w:rsidRPr="006D6D68">
              <w:rPr>
                <w:rFonts w:ascii="Arial" w:hAnsi="Arial" w:cs="Arial"/>
                <w:color w:val="auto"/>
                <w:sz w:val="18"/>
                <w:szCs w:val="18"/>
                <w:lang w:eastAsia="en-GB"/>
              </w:rPr>
              <w:t>D7</w:t>
            </w:r>
          </w:p>
        </w:tc>
        <w:tc>
          <w:tcPr>
            <w:tcW w:w="8632" w:type="dxa"/>
            <w:vMerge w:val="restart"/>
            <w:tcBorders>
              <w:left w:val="single" w:sz="8" w:space="0" w:color="FFFFFF" w:themeColor="background1"/>
              <w:right w:val="single" w:sz="8" w:space="0" w:color="FFFFFF" w:themeColor="background1"/>
            </w:tcBorders>
            <w:shd w:val="clear" w:color="auto" w:fill="A7BFDE"/>
            <w:vAlign w:val="center"/>
          </w:tcPr>
          <w:p w:rsidR="006D6D68" w:rsidRDefault="006D6D68" w:rsidP="00FF6631">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Include skills and competencies relevant to jobs in the visitor economy within the ‘retraining and guidance offer’ </w:t>
            </w:r>
            <w:r w:rsidRPr="006D6D68">
              <w:rPr>
                <w:rFonts w:ascii="Arial" w:hAnsi="Arial" w:cs="Arial"/>
                <w:sz w:val="18"/>
                <w:szCs w:val="18"/>
                <w:lang w:eastAsia="en-GB"/>
              </w:rPr>
              <w:t>available to individuals in major redundancy situations</w:t>
            </w:r>
            <w:r w:rsidR="00FF6631">
              <w:rPr>
                <w:rFonts w:ascii="Arial" w:hAnsi="Arial" w:cs="Arial"/>
                <w:sz w:val="18"/>
                <w:szCs w:val="18"/>
                <w:lang w:eastAsia="en-GB"/>
              </w:rPr>
              <w:t>.</w:t>
            </w:r>
            <w:r>
              <w:rPr>
                <w:rFonts w:ascii="Arial" w:hAnsi="Arial" w:cs="Arial"/>
                <w:sz w:val="18"/>
                <w:szCs w:val="18"/>
                <w:lang w:eastAsia="en-GB"/>
              </w:rPr>
              <w:t xml:space="preserve"> </w:t>
            </w:r>
            <w:r w:rsidR="00FF6631">
              <w:rPr>
                <w:rFonts w:ascii="Arial" w:hAnsi="Arial" w:cs="Arial"/>
                <w:sz w:val="18"/>
                <w:szCs w:val="18"/>
                <w:lang w:eastAsia="en-GB"/>
              </w:rPr>
              <w:t xml:space="preserve"> </w:t>
            </w:r>
          </w:p>
        </w:tc>
        <w:tc>
          <w:tcPr>
            <w:tcW w:w="2268" w:type="dxa"/>
            <w:vMerge w:val="restart"/>
            <w:tcBorders>
              <w:left w:val="single" w:sz="8" w:space="0" w:color="FFFFFF" w:themeColor="background1"/>
              <w:right w:val="single" w:sz="8" w:space="0" w:color="FFFFFF" w:themeColor="background1"/>
            </w:tcBorders>
            <w:shd w:val="clear" w:color="auto" w:fill="A7BFDE"/>
            <w:vAlign w:val="center"/>
          </w:tcPr>
          <w:p w:rsidR="006D6D68" w:rsidRDefault="006D6D68" w:rsidP="0071261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Skills Hub</w:t>
            </w:r>
          </w:p>
        </w:tc>
        <w:tc>
          <w:tcPr>
            <w:tcW w:w="2410" w:type="dxa"/>
            <w:tcBorders>
              <w:left w:val="single" w:sz="8" w:space="0" w:color="FFFFFF" w:themeColor="background1"/>
            </w:tcBorders>
            <w:shd w:val="clear" w:color="auto" w:fill="A7BFDE"/>
            <w:vAlign w:val="center"/>
          </w:tcPr>
          <w:p w:rsidR="006D6D68" w:rsidRDefault="006D6D68" w:rsidP="0071261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Local authorities</w:t>
            </w:r>
          </w:p>
        </w:tc>
      </w:tr>
      <w:tr w:rsidR="006D6D68" w:rsidRPr="007C27B0" w:rsidTr="006D6D6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32" w:type="dxa"/>
            <w:vMerge/>
            <w:tcBorders>
              <w:right w:val="single" w:sz="8" w:space="0" w:color="FFFFFF" w:themeColor="background1"/>
            </w:tcBorders>
            <w:shd w:val="clear" w:color="auto" w:fill="A7BFDE"/>
            <w:vAlign w:val="center"/>
          </w:tcPr>
          <w:p w:rsidR="006D6D68" w:rsidRPr="006D6D68" w:rsidRDefault="006D6D68" w:rsidP="00712619">
            <w:pPr>
              <w:spacing w:line="264" w:lineRule="auto"/>
              <w:jc w:val="center"/>
              <w:rPr>
                <w:rFonts w:ascii="Arial" w:hAnsi="Arial" w:cs="Arial"/>
                <w:sz w:val="18"/>
                <w:szCs w:val="18"/>
                <w:lang w:eastAsia="en-GB"/>
              </w:rPr>
            </w:pPr>
          </w:p>
        </w:tc>
        <w:tc>
          <w:tcPr>
            <w:tcW w:w="8632" w:type="dxa"/>
            <w:vMerge/>
            <w:shd w:val="clear" w:color="auto" w:fill="A7BFDE"/>
            <w:vAlign w:val="center"/>
          </w:tcPr>
          <w:p w:rsidR="006D6D68" w:rsidRDefault="006D6D68" w:rsidP="006D6D68">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268" w:type="dxa"/>
            <w:vMerge/>
            <w:shd w:val="clear" w:color="auto" w:fill="A7BFDE"/>
            <w:vAlign w:val="center"/>
          </w:tcPr>
          <w:p w:rsidR="006D6D68" w:rsidRDefault="006D6D68" w:rsidP="0071261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410" w:type="dxa"/>
            <w:shd w:val="clear" w:color="auto" w:fill="A7BFDE"/>
            <w:vAlign w:val="center"/>
          </w:tcPr>
          <w:p w:rsidR="006D6D68" w:rsidRDefault="006D6D68" w:rsidP="0071261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 xml:space="preserve">Skills providers </w:t>
            </w:r>
          </w:p>
        </w:tc>
      </w:tr>
      <w:tr w:rsidR="006D6D68" w:rsidRPr="007C27B0" w:rsidTr="006D6D68">
        <w:trPr>
          <w:trHeight w:val="470"/>
        </w:trPr>
        <w:tc>
          <w:tcPr>
            <w:cnfStyle w:val="001000000000" w:firstRow="0" w:lastRow="0" w:firstColumn="1" w:lastColumn="0" w:oddVBand="0" w:evenVBand="0" w:oddHBand="0" w:evenHBand="0" w:firstRowFirstColumn="0" w:firstRowLastColumn="0" w:lastRowFirstColumn="0" w:lastRowLastColumn="0"/>
            <w:tcW w:w="832" w:type="dxa"/>
            <w:vMerge/>
            <w:tcBorders>
              <w:right w:val="single" w:sz="8" w:space="0" w:color="FFFFFF" w:themeColor="background1"/>
            </w:tcBorders>
            <w:shd w:val="clear" w:color="auto" w:fill="A7BFDE"/>
            <w:vAlign w:val="center"/>
          </w:tcPr>
          <w:p w:rsidR="006D6D68" w:rsidRPr="006D6D68" w:rsidRDefault="006D6D68" w:rsidP="00712619">
            <w:pPr>
              <w:spacing w:line="264" w:lineRule="auto"/>
              <w:jc w:val="center"/>
              <w:rPr>
                <w:rFonts w:ascii="Arial" w:hAnsi="Arial" w:cs="Arial"/>
                <w:sz w:val="18"/>
                <w:szCs w:val="18"/>
                <w:lang w:eastAsia="en-GB"/>
              </w:rPr>
            </w:pPr>
          </w:p>
        </w:tc>
        <w:tc>
          <w:tcPr>
            <w:tcW w:w="8632" w:type="dxa"/>
            <w:vMerge/>
            <w:tcBorders>
              <w:left w:val="single" w:sz="8" w:space="0" w:color="FFFFFF" w:themeColor="background1"/>
              <w:right w:val="single" w:sz="8" w:space="0" w:color="FFFFFF" w:themeColor="background1"/>
            </w:tcBorders>
            <w:shd w:val="clear" w:color="auto" w:fill="A7BFDE"/>
            <w:vAlign w:val="center"/>
          </w:tcPr>
          <w:p w:rsidR="006D6D68" w:rsidRDefault="006D6D68" w:rsidP="006D6D68">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268" w:type="dxa"/>
            <w:vMerge/>
            <w:tcBorders>
              <w:left w:val="single" w:sz="8" w:space="0" w:color="FFFFFF" w:themeColor="background1"/>
              <w:right w:val="single" w:sz="8" w:space="0" w:color="FFFFFF" w:themeColor="background1"/>
            </w:tcBorders>
            <w:shd w:val="clear" w:color="auto" w:fill="A7BFDE"/>
            <w:vAlign w:val="center"/>
          </w:tcPr>
          <w:p w:rsidR="006D6D68" w:rsidRDefault="006D6D68" w:rsidP="0071261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tcBorders>
              <w:left w:val="single" w:sz="8" w:space="0" w:color="FFFFFF" w:themeColor="background1"/>
            </w:tcBorders>
            <w:shd w:val="clear" w:color="auto" w:fill="A7BFDE"/>
            <w:vAlign w:val="center"/>
          </w:tcPr>
          <w:p w:rsidR="006D6D68" w:rsidRDefault="006D6D68" w:rsidP="0071261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Jobcentre Plus</w:t>
            </w:r>
          </w:p>
        </w:tc>
      </w:tr>
    </w:tbl>
    <w:p w:rsidR="00924146" w:rsidRDefault="00924146" w:rsidP="00924146">
      <w:pPr>
        <w:rPr>
          <w:lang w:eastAsia="en-GB"/>
        </w:rPr>
      </w:pPr>
    </w:p>
    <w:p w:rsidR="00924146" w:rsidRDefault="00924146" w:rsidP="00924146">
      <w:pPr>
        <w:rPr>
          <w:lang w:eastAsia="en-GB"/>
        </w:rPr>
      </w:pPr>
    </w:p>
    <w:p w:rsidR="00924146" w:rsidRDefault="00924146" w:rsidP="007C27B0">
      <w:pPr>
        <w:rPr>
          <w:lang w:eastAsia="en-GB"/>
        </w:rPr>
      </w:pPr>
    </w:p>
    <w:p w:rsidR="007C27B0" w:rsidRDefault="003A785C" w:rsidP="007C27B0">
      <w:pPr>
        <w:rPr>
          <w:lang w:eastAsia="en-GB"/>
        </w:rPr>
      </w:pPr>
      <w:r>
        <w:rPr>
          <w:lang w:eastAsia="en-GB"/>
        </w:rPr>
        <w:t xml:space="preserve"> </w:t>
      </w:r>
    </w:p>
    <w:p w:rsidR="007C27B0" w:rsidRDefault="007C27B0" w:rsidP="007C27B0">
      <w:pPr>
        <w:rPr>
          <w:lang w:eastAsia="en-GB"/>
        </w:rPr>
      </w:pPr>
    </w:p>
    <w:p w:rsidR="007C27B0" w:rsidRDefault="007C27B0" w:rsidP="007C27B0">
      <w:pPr>
        <w:rPr>
          <w:lang w:eastAsia="en-GB"/>
        </w:rPr>
      </w:pPr>
      <w:r w:rsidRPr="007C27B0">
        <w:rPr>
          <w:lang w:eastAsia="en-GB"/>
        </w:rPr>
        <w:br w:type="page"/>
      </w:r>
    </w:p>
    <w:p w:rsidR="00A80CBE" w:rsidRDefault="00A80CBE" w:rsidP="00A80CBE">
      <w:pPr>
        <w:keepNext/>
        <w:pageBreakBefore/>
        <w:spacing w:before="240" w:after="240" w:line="360" w:lineRule="auto"/>
        <w:jc w:val="both"/>
        <w:outlineLvl w:val="0"/>
        <w:rPr>
          <w:lang w:eastAsia="en-GB"/>
        </w:rPr>
      </w:pPr>
      <w:bookmarkStart w:id="116" w:name="_Toc422907653"/>
      <w:bookmarkStart w:id="117" w:name="_Toc424128486"/>
      <w:r>
        <w:rPr>
          <w:rFonts w:ascii="Arial" w:hAnsi="Arial" w:cs="Arial"/>
          <w:b/>
          <w:bCs/>
          <w:color w:val="6C2768"/>
          <w:kern w:val="32"/>
          <w:sz w:val="28"/>
          <w:szCs w:val="32"/>
          <w:lang w:eastAsia="en-GB"/>
        </w:rPr>
        <w:lastRenderedPageBreak/>
        <w:t>Learning from Good Practice and Deepening Knowledge</w:t>
      </w:r>
      <w:bookmarkEnd w:id="116"/>
      <w:bookmarkEnd w:id="117"/>
    </w:p>
    <w:tbl>
      <w:tblPr>
        <w:tblStyle w:val="MediumGrid3-Accent1"/>
        <w:tblW w:w="0" w:type="auto"/>
        <w:tblBorders>
          <w:insideH w:val="single" w:sz="8" w:space="0" w:color="FFFFFF" w:themeColor="background1"/>
          <w:insideV w:val="single" w:sz="8" w:space="0" w:color="FFFFFF" w:themeColor="background1"/>
        </w:tblBorders>
        <w:tblLook w:val="04A0" w:firstRow="1" w:lastRow="0" w:firstColumn="1" w:lastColumn="0" w:noHBand="0" w:noVBand="1"/>
      </w:tblPr>
      <w:tblGrid>
        <w:gridCol w:w="832"/>
        <w:gridCol w:w="8632"/>
        <w:gridCol w:w="2268"/>
        <w:gridCol w:w="2410"/>
      </w:tblGrid>
      <w:tr w:rsidR="00A80CBE" w:rsidRPr="007C27B0" w:rsidTr="00625B06">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832" w:type="dxa"/>
            <w:tcBorders>
              <w:top w:val="none" w:sz="0" w:space="0" w:color="auto"/>
              <w:left w:val="none" w:sz="0" w:space="0" w:color="auto"/>
              <w:bottom w:val="single" w:sz="8" w:space="0" w:color="FFFFFF" w:themeColor="background1"/>
              <w:right w:val="none" w:sz="0" w:space="0" w:color="auto"/>
            </w:tcBorders>
            <w:vAlign w:val="center"/>
          </w:tcPr>
          <w:p w:rsidR="00A80CBE" w:rsidRPr="007C27B0" w:rsidRDefault="00A80CBE" w:rsidP="00195289">
            <w:pPr>
              <w:jc w:val="center"/>
              <w:rPr>
                <w:rFonts w:ascii="Arial" w:hAnsi="Arial" w:cs="Arial"/>
                <w:sz w:val="18"/>
                <w:szCs w:val="18"/>
                <w:lang w:eastAsia="en-GB"/>
              </w:rPr>
            </w:pPr>
            <w:r w:rsidRPr="007C27B0">
              <w:rPr>
                <w:rFonts w:ascii="Arial" w:hAnsi="Arial" w:cs="Arial"/>
                <w:sz w:val="18"/>
                <w:szCs w:val="18"/>
                <w:lang w:eastAsia="en-GB"/>
              </w:rPr>
              <w:t>Ref.</w:t>
            </w:r>
          </w:p>
        </w:tc>
        <w:tc>
          <w:tcPr>
            <w:tcW w:w="8632" w:type="dxa"/>
            <w:tcBorders>
              <w:top w:val="none" w:sz="0" w:space="0" w:color="auto"/>
              <w:left w:val="none" w:sz="0" w:space="0" w:color="auto"/>
              <w:bottom w:val="single" w:sz="8" w:space="0" w:color="FFFFFF" w:themeColor="background1"/>
              <w:right w:val="none" w:sz="0" w:space="0" w:color="auto"/>
            </w:tcBorders>
            <w:vAlign w:val="center"/>
          </w:tcPr>
          <w:p w:rsidR="00A80CBE" w:rsidRPr="007C27B0" w:rsidRDefault="00A80CBE" w:rsidP="0019528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Action</w:t>
            </w:r>
          </w:p>
        </w:tc>
        <w:tc>
          <w:tcPr>
            <w:tcW w:w="2268" w:type="dxa"/>
            <w:tcBorders>
              <w:top w:val="none" w:sz="0" w:space="0" w:color="auto"/>
              <w:left w:val="none" w:sz="0" w:space="0" w:color="auto"/>
              <w:bottom w:val="none" w:sz="0" w:space="0" w:color="auto"/>
              <w:right w:val="none" w:sz="0" w:space="0" w:color="auto"/>
            </w:tcBorders>
            <w:vAlign w:val="center"/>
          </w:tcPr>
          <w:p w:rsidR="00A80CBE" w:rsidRPr="007C27B0" w:rsidRDefault="00A80CBE" w:rsidP="0019528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Lead</w:t>
            </w:r>
          </w:p>
        </w:tc>
        <w:tc>
          <w:tcPr>
            <w:tcW w:w="2410" w:type="dxa"/>
            <w:tcBorders>
              <w:top w:val="none" w:sz="0" w:space="0" w:color="auto"/>
              <w:left w:val="none" w:sz="0" w:space="0" w:color="auto"/>
              <w:bottom w:val="none" w:sz="0" w:space="0" w:color="auto"/>
              <w:right w:val="none" w:sz="0" w:space="0" w:color="auto"/>
            </w:tcBorders>
            <w:vAlign w:val="center"/>
          </w:tcPr>
          <w:p w:rsidR="00A80CBE" w:rsidRPr="007C27B0" w:rsidRDefault="00A80CBE" w:rsidP="0019528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C27B0">
              <w:rPr>
                <w:rFonts w:ascii="Arial" w:hAnsi="Arial" w:cs="Arial"/>
                <w:sz w:val="18"/>
                <w:szCs w:val="18"/>
                <w:lang w:eastAsia="en-GB"/>
              </w:rPr>
              <w:t>Supporting</w:t>
            </w:r>
          </w:p>
        </w:tc>
      </w:tr>
      <w:tr w:rsidR="00625B06" w:rsidRPr="007C27B0" w:rsidTr="0042797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832" w:type="dxa"/>
            <w:vMerge w:val="restart"/>
            <w:tcBorders>
              <w:bottom w:val="single" w:sz="8" w:space="0" w:color="FFFFFF" w:themeColor="background1"/>
              <w:right w:val="single" w:sz="8" w:space="0" w:color="FFFFFF" w:themeColor="background1"/>
            </w:tcBorders>
            <w:shd w:val="clear" w:color="auto" w:fill="A7BFDE"/>
            <w:vAlign w:val="center"/>
          </w:tcPr>
          <w:p w:rsidR="00625B06" w:rsidRPr="007C27B0" w:rsidRDefault="00625B06" w:rsidP="00195289">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L1</w:t>
            </w:r>
          </w:p>
        </w:tc>
        <w:tc>
          <w:tcPr>
            <w:tcW w:w="8632" w:type="dxa"/>
            <w:vMerge w:val="restart"/>
            <w:shd w:val="clear" w:color="auto" w:fill="A7BFDE"/>
            <w:vAlign w:val="center"/>
          </w:tcPr>
          <w:p w:rsidR="00625B06" w:rsidRPr="00833163" w:rsidRDefault="00625B06" w:rsidP="00625B06">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lang w:eastAsia="en-GB"/>
              </w:rPr>
              <w:t xml:space="preserve">Work with employers and skills providers to determine the appetite for, and feasibility of, replicating the Blackpool Tourism Academy model in other parts of the LEP area with concentrations of visitor economy employers, e.g. Lancaster and the Ribble Valley. </w:t>
            </w:r>
          </w:p>
        </w:tc>
        <w:tc>
          <w:tcPr>
            <w:tcW w:w="2268" w:type="dxa"/>
            <w:vMerge w:val="restart"/>
            <w:shd w:val="clear" w:color="auto" w:fill="A7BFDE"/>
            <w:vAlign w:val="center"/>
          </w:tcPr>
          <w:p w:rsidR="00625B06" w:rsidRPr="007C27B0" w:rsidRDefault="00625B06" w:rsidP="0019528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c>
          <w:tcPr>
            <w:tcW w:w="2410" w:type="dxa"/>
            <w:shd w:val="clear" w:color="auto" w:fill="A7BFDE"/>
            <w:vAlign w:val="center"/>
          </w:tcPr>
          <w:p w:rsidR="00625B06" w:rsidRPr="007C27B0" w:rsidRDefault="00625B06" w:rsidP="0019528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Blackpool Tourism Academy</w:t>
            </w:r>
          </w:p>
        </w:tc>
      </w:tr>
      <w:tr w:rsidR="00625B06" w:rsidRPr="007C27B0" w:rsidTr="00427971">
        <w:trPr>
          <w:trHeight w:val="554"/>
        </w:trPr>
        <w:tc>
          <w:tcPr>
            <w:cnfStyle w:val="001000000000" w:firstRow="0" w:lastRow="0" w:firstColumn="1" w:lastColumn="0" w:oddVBand="0" w:evenVBand="0" w:oddHBand="0" w:evenHBand="0" w:firstRowFirstColumn="0" w:firstRowLastColumn="0" w:lastRowFirstColumn="0" w:lastRowLastColumn="0"/>
            <w:tcW w:w="832" w:type="dxa"/>
            <w:vMerge/>
            <w:tcBorders>
              <w:bottom w:val="single" w:sz="8" w:space="0" w:color="FFFFFF" w:themeColor="background1"/>
              <w:right w:val="single" w:sz="8" w:space="0" w:color="FFFFFF" w:themeColor="background1"/>
            </w:tcBorders>
            <w:shd w:val="clear" w:color="auto" w:fill="A7BFDE"/>
            <w:vAlign w:val="center"/>
          </w:tcPr>
          <w:p w:rsidR="00625B06" w:rsidRDefault="00625B06" w:rsidP="00195289">
            <w:pPr>
              <w:spacing w:line="264" w:lineRule="auto"/>
              <w:jc w:val="center"/>
              <w:rPr>
                <w:rFonts w:ascii="Arial" w:hAnsi="Arial" w:cs="Arial"/>
                <w:sz w:val="18"/>
                <w:szCs w:val="18"/>
                <w:lang w:eastAsia="en-GB"/>
              </w:rPr>
            </w:pPr>
          </w:p>
        </w:tc>
        <w:tc>
          <w:tcPr>
            <w:tcW w:w="8632" w:type="dxa"/>
            <w:vMerge/>
            <w:tcBorders>
              <w:left w:val="single" w:sz="8" w:space="0" w:color="FFFFFF" w:themeColor="background1"/>
              <w:bottom w:val="single" w:sz="8" w:space="0" w:color="FFFFFF" w:themeColor="background1"/>
            </w:tcBorders>
            <w:shd w:val="clear" w:color="auto" w:fill="A7BFDE"/>
            <w:vAlign w:val="center"/>
          </w:tcPr>
          <w:p w:rsidR="00625B06" w:rsidRDefault="00625B06" w:rsidP="00625B06">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268" w:type="dxa"/>
            <w:vMerge/>
            <w:shd w:val="clear" w:color="auto" w:fill="A7BFDE"/>
            <w:vAlign w:val="center"/>
          </w:tcPr>
          <w:p w:rsidR="00625B06" w:rsidRPr="007C27B0" w:rsidRDefault="00625B06" w:rsidP="0019528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tc>
        <w:tc>
          <w:tcPr>
            <w:tcW w:w="2410" w:type="dxa"/>
            <w:shd w:val="clear" w:color="auto" w:fill="A7BFDE"/>
            <w:vAlign w:val="center"/>
          </w:tcPr>
          <w:p w:rsidR="00625B06" w:rsidRPr="007C27B0" w:rsidRDefault="00625B06" w:rsidP="0019528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Employers</w:t>
            </w:r>
          </w:p>
        </w:tc>
      </w:tr>
      <w:tr w:rsidR="00625B06" w:rsidRPr="007C27B0" w:rsidTr="007926B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32" w:type="dxa"/>
            <w:vMerge/>
            <w:tcBorders>
              <w:bottom w:val="single" w:sz="8" w:space="0" w:color="FFFFFF" w:themeColor="background1"/>
              <w:right w:val="single" w:sz="8" w:space="0" w:color="FFFFFF" w:themeColor="background1"/>
            </w:tcBorders>
            <w:shd w:val="clear" w:color="auto" w:fill="A7BFDE"/>
            <w:vAlign w:val="center"/>
          </w:tcPr>
          <w:p w:rsidR="00625B06" w:rsidRPr="007C27B0" w:rsidRDefault="00625B06" w:rsidP="00195289">
            <w:pPr>
              <w:spacing w:line="264" w:lineRule="auto"/>
              <w:jc w:val="center"/>
              <w:rPr>
                <w:rFonts w:ascii="Arial" w:hAnsi="Arial" w:cs="Arial"/>
                <w:color w:val="auto"/>
                <w:sz w:val="18"/>
                <w:szCs w:val="18"/>
                <w:lang w:eastAsia="en-GB"/>
              </w:rPr>
            </w:pPr>
          </w:p>
        </w:tc>
        <w:tc>
          <w:tcPr>
            <w:tcW w:w="8632" w:type="dxa"/>
            <w:vMerge/>
            <w:shd w:val="clear" w:color="auto" w:fill="A7BFDE"/>
            <w:vAlign w:val="center"/>
          </w:tcPr>
          <w:p w:rsidR="00625B06" w:rsidRPr="007C27B0" w:rsidRDefault="00625B06" w:rsidP="0019528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268" w:type="dxa"/>
            <w:vMerge/>
            <w:shd w:val="clear" w:color="auto" w:fill="A7BFDE"/>
            <w:vAlign w:val="center"/>
          </w:tcPr>
          <w:p w:rsidR="00625B06" w:rsidRPr="007C27B0" w:rsidRDefault="00625B06" w:rsidP="0019528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p>
        </w:tc>
        <w:tc>
          <w:tcPr>
            <w:tcW w:w="2410" w:type="dxa"/>
            <w:shd w:val="clear" w:color="auto" w:fill="A7BFDE"/>
            <w:vAlign w:val="center"/>
          </w:tcPr>
          <w:p w:rsidR="00625B06" w:rsidRPr="007C27B0" w:rsidRDefault="00625B06" w:rsidP="00195289">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Skills providers</w:t>
            </w:r>
          </w:p>
        </w:tc>
      </w:tr>
      <w:tr w:rsidR="00A80CBE" w:rsidRPr="007C27B0" w:rsidTr="007926B9">
        <w:trPr>
          <w:trHeight w:val="1267"/>
        </w:trPr>
        <w:tc>
          <w:tcPr>
            <w:cnfStyle w:val="001000000000" w:firstRow="0" w:lastRow="0" w:firstColumn="1" w:lastColumn="0" w:oddVBand="0" w:evenVBand="0" w:oddHBand="0" w:evenHBand="0" w:firstRowFirstColumn="0" w:firstRowLastColumn="0" w:lastRowFirstColumn="0" w:lastRowLastColumn="0"/>
            <w:tcW w:w="832" w:type="dxa"/>
            <w:tcBorders>
              <w:left w:val="none" w:sz="0" w:space="0" w:color="auto"/>
              <w:right w:val="none" w:sz="0" w:space="0" w:color="auto"/>
            </w:tcBorders>
            <w:shd w:val="clear" w:color="auto" w:fill="D3DFEE"/>
            <w:vAlign w:val="center"/>
          </w:tcPr>
          <w:p w:rsidR="00A80CBE" w:rsidRPr="007C27B0" w:rsidRDefault="00BB1A1F" w:rsidP="007926B9">
            <w:pPr>
              <w:spacing w:line="264" w:lineRule="auto"/>
              <w:jc w:val="center"/>
              <w:rPr>
                <w:rFonts w:ascii="Arial" w:hAnsi="Arial" w:cs="Arial"/>
                <w:color w:val="auto"/>
                <w:sz w:val="18"/>
                <w:szCs w:val="18"/>
                <w:lang w:eastAsia="en-GB"/>
              </w:rPr>
            </w:pPr>
            <w:r>
              <w:rPr>
                <w:rFonts w:ascii="Arial" w:hAnsi="Arial" w:cs="Arial"/>
                <w:color w:val="auto"/>
                <w:sz w:val="18"/>
                <w:szCs w:val="18"/>
                <w:lang w:eastAsia="en-GB"/>
              </w:rPr>
              <w:t>L</w:t>
            </w:r>
            <w:r w:rsidR="007926B9">
              <w:rPr>
                <w:rFonts w:ascii="Arial" w:hAnsi="Arial" w:cs="Arial"/>
                <w:color w:val="auto"/>
                <w:sz w:val="18"/>
                <w:szCs w:val="18"/>
                <w:lang w:eastAsia="en-GB"/>
              </w:rPr>
              <w:t>2</w:t>
            </w:r>
          </w:p>
        </w:tc>
        <w:tc>
          <w:tcPr>
            <w:tcW w:w="8632" w:type="dxa"/>
            <w:shd w:val="clear" w:color="auto" w:fill="D3DFEE"/>
            <w:vAlign w:val="center"/>
          </w:tcPr>
          <w:p w:rsidR="00A80CBE" w:rsidRPr="00BB1A1F" w:rsidRDefault="00BB1A1F" w:rsidP="00195289">
            <w:pPr>
              <w:spacing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BB1A1F">
              <w:rPr>
                <w:rFonts w:ascii="Arial" w:hAnsi="Arial" w:cs="Arial"/>
                <w:sz w:val="18"/>
                <w:szCs w:val="18"/>
                <w:lang w:eastAsia="en-GB"/>
              </w:rPr>
              <w:t>Present/discuss this plan with the British Hospitality Association, the Tourism Society and other relevant trade bodies, networks and forums to explore opportunities for economies of scale and mobilising resources around shared objectives.</w:t>
            </w:r>
            <w:r>
              <w:rPr>
                <w:sz w:val="18"/>
                <w:szCs w:val="18"/>
              </w:rPr>
              <w:t xml:space="preserve"> </w:t>
            </w:r>
          </w:p>
        </w:tc>
        <w:tc>
          <w:tcPr>
            <w:tcW w:w="2268" w:type="dxa"/>
            <w:shd w:val="clear" w:color="auto" w:fill="D3DFEE"/>
            <w:vAlign w:val="center"/>
          </w:tcPr>
          <w:p w:rsidR="00A80CBE" w:rsidRPr="007C27B0" w:rsidRDefault="0086122C" w:rsidP="0019528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Marketing Lancashire</w:t>
            </w:r>
          </w:p>
        </w:tc>
        <w:tc>
          <w:tcPr>
            <w:tcW w:w="2410" w:type="dxa"/>
            <w:shd w:val="clear" w:color="auto" w:fill="D3DFEE"/>
            <w:vAlign w:val="center"/>
          </w:tcPr>
          <w:p w:rsidR="00A80CBE" w:rsidRPr="007C27B0" w:rsidRDefault="0086122C" w:rsidP="00195289">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Pr>
                <w:rFonts w:ascii="Arial" w:hAnsi="Arial" w:cs="Arial"/>
                <w:sz w:val="18"/>
                <w:szCs w:val="18"/>
                <w:lang w:eastAsia="en-GB"/>
              </w:rPr>
              <w:t>Lancashire LEP</w:t>
            </w:r>
          </w:p>
        </w:tc>
      </w:tr>
    </w:tbl>
    <w:p w:rsidR="00A80CBE" w:rsidRDefault="00A80CBE" w:rsidP="00A80CBE">
      <w:pPr>
        <w:rPr>
          <w:lang w:eastAsia="en-GB"/>
        </w:rPr>
      </w:pPr>
    </w:p>
    <w:p w:rsidR="00A80CBE" w:rsidRDefault="0086122C" w:rsidP="00D62296">
      <w:pPr>
        <w:pStyle w:val="normalnumbered"/>
        <w:tabs>
          <w:tab w:val="clear" w:pos="2666"/>
        </w:tabs>
        <w:spacing w:line="264" w:lineRule="auto"/>
        <w:ind w:left="0" w:right="40" w:firstLine="0"/>
        <w:rPr>
          <w:sz w:val="18"/>
          <w:szCs w:val="18"/>
        </w:rPr>
      </w:pPr>
      <w:r>
        <w:rPr>
          <w:sz w:val="18"/>
          <w:szCs w:val="18"/>
        </w:rPr>
        <w:t xml:space="preserve"> </w:t>
      </w:r>
      <w:r w:rsidR="008D4796">
        <w:rPr>
          <w:sz w:val="18"/>
          <w:szCs w:val="18"/>
        </w:rPr>
        <w:t xml:space="preserve"> </w:t>
      </w:r>
    </w:p>
    <w:p w:rsidR="000115C9" w:rsidRDefault="000115C9" w:rsidP="00D62296">
      <w:pPr>
        <w:pStyle w:val="normalnumbered"/>
        <w:tabs>
          <w:tab w:val="clear" w:pos="2666"/>
        </w:tabs>
        <w:spacing w:line="264" w:lineRule="auto"/>
        <w:ind w:left="0" w:right="40" w:firstLine="0"/>
        <w:rPr>
          <w:sz w:val="18"/>
          <w:szCs w:val="18"/>
        </w:rPr>
      </w:pPr>
    </w:p>
    <w:p w:rsidR="000115C9" w:rsidRPr="000115C9" w:rsidRDefault="000115C9" w:rsidP="000115C9">
      <w:pPr>
        <w:keepNext/>
        <w:pageBreakBefore/>
        <w:spacing w:before="240" w:after="240" w:line="360" w:lineRule="auto"/>
        <w:jc w:val="both"/>
        <w:outlineLvl w:val="0"/>
        <w:rPr>
          <w:rFonts w:ascii="Arial" w:hAnsi="Arial" w:cs="Arial"/>
          <w:b/>
          <w:bCs/>
          <w:color w:val="6C2768"/>
          <w:kern w:val="32"/>
          <w:sz w:val="28"/>
          <w:szCs w:val="32"/>
          <w:lang w:eastAsia="en-GB"/>
        </w:rPr>
      </w:pPr>
      <w:bookmarkStart w:id="118" w:name="_Toc424128487"/>
      <w:r>
        <w:rPr>
          <w:rFonts w:ascii="Arial" w:hAnsi="Arial" w:cs="Arial"/>
          <w:b/>
          <w:bCs/>
          <w:color w:val="6C2768"/>
          <w:kern w:val="32"/>
          <w:sz w:val="28"/>
          <w:szCs w:val="32"/>
          <w:lang w:eastAsia="en-GB"/>
        </w:rPr>
        <w:lastRenderedPageBreak/>
        <w:t>Appendix A: Visitor Economy Definition</w:t>
      </w:r>
      <w:bookmarkEnd w:id="118"/>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2"/>
        <w:gridCol w:w="5670"/>
      </w:tblGrid>
      <w:tr w:rsidR="000115C9" w:rsidRPr="00372CB2" w:rsidTr="00D3608D">
        <w:tc>
          <w:tcPr>
            <w:tcW w:w="8472" w:type="dxa"/>
            <w:gridSpan w:val="2"/>
            <w:shd w:val="clear" w:color="auto" w:fill="660066"/>
          </w:tcPr>
          <w:p w:rsidR="000115C9" w:rsidRPr="009C415C" w:rsidRDefault="000115C9" w:rsidP="00D3608D">
            <w:pPr>
              <w:pStyle w:val="Default"/>
              <w:spacing w:before="20" w:after="20" w:line="264" w:lineRule="auto"/>
              <w:rPr>
                <w:b/>
                <w:color w:val="FFFFFF" w:themeColor="background1"/>
                <w:sz w:val="18"/>
                <w:szCs w:val="20"/>
              </w:rPr>
            </w:pPr>
            <w:r>
              <w:rPr>
                <w:b/>
                <w:color w:val="FFFFFF" w:themeColor="background1"/>
                <w:sz w:val="18"/>
                <w:szCs w:val="20"/>
              </w:rPr>
              <w:t>Visitor Economy Sector Definition</w:t>
            </w:r>
          </w:p>
        </w:tc>
      </w:tr>
      <w:tr w:rsidR="000115C9" w:rsidRPr="00372CB2" w:rsidTr="00D3608D">
        <w:tc>
          <w:tcPr>
            <w:tcW w:w="2802" w:type="dxa"/>
            <w:vAlign w:val="center"/>
          </w:tcPr>
          <w:p w:rsidR="000115C9" w:rsidRPr="00372CB2" w:rsidRDefault="000115C9" w:rsidP="00D3608D">
            <w:pPr>
              <w:pStyle w:val="Default"/>
              <w:spacing w:before="20" w:after="20" w:line="264" w:lineRule="auto"/>
              <w:rPr>
                <w:color w:val="auto"/>
                <w:sz w:val="18"/>
                <w:szCs w:val="20"/>
              </w:rPr>
            </w:pPr>
            <w:r>
              <w:rPr>
                <w:color w:val="auto"/>
                <w:sz w:val="18"/>
                <w:szCs w:val="20"/>
              </w:rPr>
              <w:t>Land transport</w:t>
            </w:r>
          </w:p>
        </w:tc>
        <w:tc>
          <w:tcPr>
            <w:tcW w:w="5670" w:type="dxa"/>
            <w:vAlign w:val="center"/>
          </w:tcPr>
          <w:p w:rsidR="000115C9" w:rsidRPr="009C415C" w:rsidRDefault="000115C9" w:rsidP="00D3608D">
            <w:pPr>
              <w:pStyle w:val="Default"/>
              <w:spacing w:before="20" w:after="20" w:line="264" w:lineRule="auto"/>
              <w:rPr>
                <w:color w:val="auto"/>
                <w:sz w:val="18"/>
                <w:szCs w:val="20"/>
              </w:rPr>
            </w:pPr>
            <w:r w:rsidRPr="00372CB2">
              <w:rPr>
                <w:color w:val="auto"/>
                <w:sz w:val="18"/>
                <w:szCs w:val="20"/>
              </w:rPr>
              <w:t xml:space="preserve">4932 : Taxi operation </w:t>
            </w:r>
          </w:p>
        </w:tc>
      </w:tr>
      <w:tr w:rsidR="000115C9" w:rsidRPr="00372CB2" w:rsidTr="00D3608D">
        <w:tc>
          <w:tcPr>
            <w:tcW w:w="2802" w:type="dxa"/>
            <w:vAlign w:val="center"/>
          </w:tcPr>
          <w:p w:rsidR="000115C9" w:rsidRPr="00372CB2" w:rsidRDefault="000115C9" w:rsidP="00D3608D">
            <w:pPr>
              <w:pStyle w:val="Default"/>
              <w:spacing w:before="20" w:after="20" w:line="264" w:lineRule="auto"/>
              <w:rPr>
                <w:color w:val="auto"/>
                <w:sz w:val="18"/>
                <w:szCs w:val="20"/>
              </w:rPr>
            </w:pPr>
            <w:r>
              <w:rPr>
                <w:color w:val="auto"/>
                <w:sz w:val="18"/>
                <w:szCs w:val="20"/>
              </w:rPr>
              <w:t>Water transport</w:t>
            </w:r>
          </w:p>
        </w:tc>
        <w:tc>
          <w:tcPr>
            <w:tcW w:w="5670" w:type="dxa"/>
            <w:vAlign w:val="center"/>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5010 : Sea and coastal passenger water transport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5030 : Inland passenger water transport</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Accommodation</w:t>
            </w:r>
          </w:p>
        </w:tc>
        <w:tc>
          <w:tcPr>
            <w:tcW w:w="5670" w:type="dxa"/>
            <w:vAlign w:val="center"/>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5510 : Hotels and similar accommodation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5520 : Holiday and other short stay accommodation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5530 : Camping grounds, recreational vehicle parks and trailer parks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5590 : Other accommodation </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Food and drink services</w:t>
            </w:r>
          </w:p>
        </w:tc>
        <w:tc>
          <w:tcPr>
            <w:tcW w:w="5670" w:type="dxa"/>
            <w:vAlign w:val="center"/>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5610 : Restaurants and mobile food service activities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5621 : Event catering activities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5629 : Other food service activities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5630 : Beverage serving activities </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Renting and leasing</w:t>
            </w:r>
          </w:p>
        </w:tc>
        <w:tc>
          <w:tcPr>
            <w:tcW w:w="5670" w:type="dxa"/>
            <w:vAlign w:val="center"/>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7711 : Renting and leasing of cars and light motor vehicles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7721 : Renting and leasing of recreational and sports goods </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Tour operator and reservation services</w:t>
            </w:r>
          </w:p>
        </w:tc>
        <w:tc>
          <w:tcPr>
            <w:tcW w:w="5670" w:type="dxa"/>
            <w:vAlign w:val="center"/>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7912 : Tour operator activities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7990 : Other reservation service and related activities </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Conventions and trade shows</w:t>
            </w:r>
          </w:p>
        </w:tc>
        <w:tc>
          <w:tcPr>
            <w:tcW w:w="5670" w:type="dxa"/>
            <w:vAlign w:val="center"/>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8230 : Conve</w:t>
            </w:r>
            <w:r>
              <w:rPr>
                <w:color w:val="auto"/>
                <w:sz w:val="18"/>
                <w:szCs w:val="20"/>
              </w:rPr>
              <w:t>ntion and trade show organizers</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Creative, arts and entertainment activities</w:t>
            </w:r>
          </w:p>
        </w:tc>
        <w:tc>
          <w:tcPr>
            <w:tcW w:w="5670" w:type="dxa"/>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9001 : Performing arts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9002 : Support activities to performing arts </w:t>
            </w:r>
          </w:p>
          <w:p w:rsidR="000115C9" w:rsidRDefault="000115C9" w:rsidP="00D3608D">
            <w:pPr>
              <w:pStyle w:val="Default"/>
              <w:spacing w:before="20" w:after="20" w:line="264" w:lineRule="auto"/>
              <w:rPr>
                <w:color w:val="auto"/>
                <w:sz w:val="18"/>
                <w:szCs w:val="20"/>
              </w:rPr>
            </w:pPr>
            <w:r w:rsidRPr="00372CB2">
              <w:rPr>
                <w:color w:val="auto"/>
                <w:sz w:val="18"/>
                <w:szCs w:val="20"/>
              </w:rPr>
              <w:t>9003 : Artistic creation</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9004</w:t>
            </w:r>
            <w:r>
              <w:rPr>
                <w:color w:val="auto"/>
                <w:sz w:val="18"/>
                <w:szCs w:val="20"/>
              </w:rPr>
              <w:t xml:space="preserve"> : Operation of arts facilities</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Cultural activities</w:t>
            </w:r>
          </w:p>
        </w:tc>
        <w:tc>
          <w:tcPr>
            <w:tcW w:w="5670" w:type="dxa"/>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9102 : Museum activities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9103 : Operation of historical sites and buildings &amp; similar visitor attractions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9104 : Botanical and zoological gardens and nature reserve activities</w:t>
            </w:r>
          </w:p>
        </w:tc>
      </w:tr>
      <w:tr w:rsidR="000115C9" w:rsidRPr="00372CB2" w:rsidTr="00D3608D">
        <w:tc>
          <w:tcPr>
            <w:tcW w:w="2802" w:type="dxa"/>
            <w:vAlign w:val="center"/>
          </w:tcPr>
          <w:p w:rsidR="000115C9" w:rsidRPr="00D521BB" w:rsidRDefault="000115C9" w:rsidP="00D3608D">
            <w:pPr>
              <w:rPr>
                <w:rFonts w:ascii="Arial" w:hAnsi="Arial" w:cs="Arial"/>
                <w:sz w:val="18"/>
                <w:szCs w:val="18"/>
              </w:rPr>
            </w:pPr>
            <w:r w:rsidRPr="00D521BB">
              <w:rPr>
                <w:rFonts w:ascii="Arial" w:hAnsi="Arial" w:cs="Arial"/>
                <w:sz w:val="18"/>
                <w:szCs w:val="18"/>
              </w:rPr>
              <w:t>Sports and recreation</w:t>
            </w:r>
          </w:p>
        </w:tc>
        <w:tc>
          <w:tcPr>
            <w:tcW w:w="5670" w:type="dxa"/>
          </w:tcPr>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9311 : Operation of sports facilities </w:t>
            </w:r>
          </w:p>
          <w:p w:rsidR="000115C9" w:rsidRPr="00372CB2" w:rsidRDefault="000115C9" w:rsidP="00D3608D">
            <w:pPr>
              <w:pStyle w:val="Default"/>
              <w:spacing w:before="20" w:after="20" w:line="264" w:lineRule="auto"/>
              <w:rPr>
                <w:color w:val="auto"/>
                <w:sz w:val="18"/>
                <w:szCs w:val="20"/>
              </w:rPr>
            </w:pPr>
            <w:r w:rsidRPr="00372CB2">
              <w:rPr>
                <w:color w:val="auto"/>
                <w:sz w:val="18"/>
                <w:szCs w:val="20"/>
              </w:rPr>
              <w:t xml:space="preserve">9321 : Activities of amusement parks and theme parks </w:t>
            </w:r>
          </w:p>
          <w:p w:rsidR="000115C9" w:rsidRPr="00372CB2" w:rsidRDefault="000115C9" w:rsidP="00D3608D">
            <w:pPr>
              <w:pStyle w:val="Default"/>
              <w:spacing w:before="20" w:after="20" w:line="264" w:lineRule="auto"/>
              <w:rPr>
                <w:color w:val="auto"/>
                <w:sz w:val="18"/>
                <w:szCs w:val="20"/>
              </w:rPr>
            </w:pPr>
            <w:r w:rsidRPr="00372CB2">
              <w:rPr>
                <w:sz w:val="18"/>
                <w:szCs w:val="20"/>
              </w:rPr>
              <w:t>9329 : Other amusement and recreation activities</w:t>
            </w:r>
          </w:p>
        </w:tc>
      </w:tr>
      <w:tr w:rsidR="000115C9" w:rsidRPr="00372CB2" w:rsidTr="00D3608D">
        <w:tc>
          <w:tcPr>
            <w:tcW w:w="8472" w:type="dxa"/>
            <w:gridSpan w:val="2"/>
          </w:tcPr>
          <w:p w:rsidR="000115C9" w:rsidRPr="00372CB2" w:rsidRDefault="000115C9" w:rsidP="00D3608D">
            <w:pPr>
              <w:pStyle w:val="Default"/>
              <w:spacing w:before="20" w:after="20" w:line="264" w:lineRule="auto"/>
              <w:rPr>
                <w:color w:val="auto"/>
                <w:sz w:val="18"/>
                <w:szCs w:val="20"/>
              </w:rPr>
            </w:pPr>
            <w:r>
              <w:rPr>
                <w:color w:val="auto"/>
                <w:sz w:val="18"/>
                <w:szCs w:val="20"/>
              </w:rPr>
              <w:t>Source: ekosgen</w:t>
            </w:r>
          </w:p>
        </w:tc>
      </w:tr>
    </w:tbl>
    <w:p w:rsidR="000115C9" w:rsidRDefault="000115C9" w:rsidP="000115C9">
      <w:pPr>
        <w:pStyle w:val="normalnumbered"/>
        <w:tabs>
          <w:tab w:val="clear" w:pos="2666"/>
        </w:tabs>
        <w:spacing w:line="264" w:lineRule="auto"/>
        <w:ind w:left="0" w:right="40" w:firstLine="0"/>
        <w:rPr>
          <w:sz w:val="18"/>
          <w:szCs w:val="18"/>
        </w:rPr>
      </w:pPr>
    </w:p>
    <w:sectPr w:rsidR="000115C9" w:rsidSect="00BB1A1F">
      <w:pgSz w:w="16834" w:h="11909" w:orient="landscape" w:code="9"/>
      <w:pgMar w:top="1418" w:right="1440" w:bottom="141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46" w:rsidRDefault="00602146" w:rsidP="00971925">
      <w:r>
        <w:separator/>
      </w:r>
    </w:p>
  </w:endnote>
  <w:endnote w:type="continuationSeparator" w:id="0">
    <w:p w:rsidR="00602146" w:rsidRDefault="00602146" w:rsidP="0097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93480"/>
      <w:docPartObj>
        <w:docPartGallery w:val="Page Numbers (Bottom of Page)"/>
        <w:docPartUnique/>
      </w:docPartObj>
    </w:sdtPr>
    <w:sdtEndPr>
      <w:rPr>
        <w:rFonts w:ascii="Arial" w:hAnsi="Arial" w:cs="Arial"/>
        <w:sz w:val="20"/>
        <w:szCs w:val="20"/>
      </w:rPr>
    </w:sdtEndPr>
    <w:sdtContent>
      <w:p w:rsidR="000A3998" w:rsidRPr="00B3366D" w:rsidRDefault="006215C1" w:rsidP="00C87436">
        <w:pPr>
          <w:pStyle w:val="Footer"/>
          <w:pBdr>
            <w:top w:val="single" w:sz="4" w:space="1" w:color="auto"/>
          </w:pBdr>
          <w:jc w:val="right"/>
          <w:rPr>
            <w:rFonts w:ascii="Arial" w:hAnsi="Arial" w:cs="Arial"/>
            <w:sz w:val="20"/>
            <w:szCs w:val="20"/>
          </w:rPr>
        </w:pPr>
        <w:r w:rsidRPr="00B3366D">
          <w:rPr>
            <w:rFonts w:ascii="Arial" w:hAnsi="Arial" w:cs="Arial"/>
            <w:sz w:val="20"/>
            <w:szCs w:val="20"/>
          </w:rPr>
          <w:fldChar w:fldCharType="begin"/>
        </w:r>
        <w:r w:rsidR="000A3998" w:rsidRPr="00B3366D">
          <w:rPr>
            <w:rFonts w:ascii="Arial" w:hAnsi="Arial" w:cs="Arial"/>
            <w:sz w:val="20"/>
            <w:szCs w:val="20"/>
          </w:rPr>
          <w:instrText xml:space="preserve"> PAGE   \* MERGEFORMAT </w:instrText>
        </w:r>
        <w:r w:rsidRPr="00B3366D">
          <w:rPr>
            <w:rFonts w:ascii="Arial" w:hAnsi="Arial" w:cs="Arial"/>
            <w:sz w:val="20"/>
            <w:szCs w:val="20"/>
          </w:rPr>
          <w:fldChar w:fldCharType="separate"/>
        </w:r>
        <w:r w:rsidR="000A3998">
          <w:rPr>
            <w:rFonts w:ascii="Arial" w:hAnsi="Arial" w:cs="Arial"/>
            <w:noProof/>
            <w:sz w:val="20"/>
            <w:szCs w:val="20"/>
          </w:rPr>
          <w:t>1</w:t>
        </w:r>
        <w:r w:rsidRPr="00B3366D">
          <w:rPr>
            <w:rFonts w:ascii="Arial" w:hAnsi="Arial" w:cs="Arial"/>
            <w:sz w:val="20"/>
            <w:szCs w:val="20"/>
          </w:rPr>
          <w:fldChar w:fldCharType="end"/>
        </w:r>
      </w:p>
    </w:sdtContent>
  </w:sdt>
  <w:p w:rsidR="000A3998" w:rsidRDefault="000A3998" w:rsidP="00C87436">
    <w:pPr>
      <w:pStyle w:val="Footer"/>
      <w:jc w:val="center"/>
    </w:pPr>
    <w:r w:rsidRPr="00B3366D">
      <w:rPr>
        <w:noProof/>
        <w:lang w:eastAsia="en-GB"/>
      </w:rPr>
      <w:drawing>
        <wp:inline distT="0" distB="0" distL="0" distR="0">
          <wp:extent cx="942975" cy="230104"/>
          <wp:effectExtent l="19050" t="0" r="9525" b="0"/>
          <wp:docPr id="8" name="Picture 2" descr="ekosge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sgen_logo_small"/>
                  <pic:cNvPicPr>
                    <a:picLocks noChangeAspect="1" noChangeArrowheads="1"/>
                  </pic:cNvPicPr>
                </pic:nvPicPr>
                <pic:blipFill>
                  <a:blip r:embed="rId1"/>
                  <a:srcRect/>
                  <a:stretch>
                    <a:fillRect/>
                  </a:stretch>
                </pic:blipFill>
                <pic:spPr bwMode="auto">
                  <a:xfrm>
                    <a:off x="0" y="0"/>
                    <a:ext cx="942975" cy="23010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98" w:rsidRPr="00B3366D" w:rsidRDefault="000A3998" w:rsidP="00C87436">
    <w:pPr>
      <w:pStyle w:val="Footer"/>
      <w:pBdr>
        <w:top w:val="single" w:sz="4" w:space="1" w:color="auto"/>
      </w:pBdr>
      <w:jc w:val="right"/>
      <w:rPr>
        <w:rFonts w:ascii="Arial" w:hAnsi="Arial" w:cs="Arial"/>
        <w:sz w:val="20"/>
        <w:szCs w:val="20"/>
      </w:rPr>
    </w:pPr>
  </w:p>
  <w:p w:rsidR="000A3998" w:rsidRDefault="000A3998" w:rsidP="00C87436">
    <w:pPr>
      <w:pStyle w:val="Footer"/>
      <w:jc w:val="center"/>
    </w:pPr>
    <w:r w:rsidRPr="00B3366D">
      <w:rPr>
        <w:noProof/>
        <w:lang w:eastAsia="en-GB"/>
      </w:rPr>
      <w:drawing>
        <wp:inline distT="0" distB="0" distL="0" distR="0">
          <wp:extent cx="942975" cy="230104"/>
          <wp:effectExtent l="19050" t="0" r="9525" b="0"/>
          <wp:docPr id="11" name="Picture 2" descr="ekosge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sgen_logo_small"/>
                  <pic:cNvPicPr>
                    <a:picLocks noChangeAspect="1" noChangeArrowheads="1"/>
                  </pic:cNvPicPr>
                </pic:nvPicPr>
                <pic:blipFill>
                  <a:blip r:embed="rId1"/>
                  <a:srcRect/>
                  <a:stretch>
                    <a:fillRect/>
                  </a:stretch>
                </pic:blipFill>
                <pic:spPr bwMode="auto">
                  <a:xfrm>
                    <a:off x="0" y="0"/>
                    <a:ext cx="942975" cy="23010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64705"/>
      <w:docPartObj>
        <w:docPartGallery w:val="Page Numbers (Bottom of Page)"/>
        <w:docPartUnique/>
      </w:docPartObj>
    </w:sdtPr>
    <w:sdtEndPr>
      <w:rPr>
        <w:rFonts w:ascii="Arial" w:hAnsi="Arial" w:cs="Arial"/>
        <w:sz w:val="20"/>
        <w:szCs w:val="20"/>
      </w:rPr>
    </w:sdtEndPr>
    <w:sdtContent>
      <w:p w:rsidR="000A3998" w:rsidRPr="00B3366D" w:rsidRDefault="006215C1" w:rsidP="00C87436">
        <w:pPr>
          <w:pStyle w:val="Footer"/>
          <w:pBdr>
            <w:top w:val="single" w:sz="4" w:space="1" w:color="auto"/>
          </w:pBdr>
          <w:jc w:val="right"/>
          <w:rPr>
            <w:rFonts w:ascii="Arial" w:hAnsi="Arial" w:cs="Arial"/>
            <w:sz w:val="20"/>
            <w:szCs w:val="20"/>
          </w:rPr>
        </w:pPr>
        <w:r w:rsidRPr="00B3366D">
          <w:rPr>
            <w:rFonts w:ascii="Arial" w:hAnsi="Arial" w:cs="Arial"/>
            <w:sz w:val="20"/>
            <w:szCs w:val="20"/>
          </w:rPr>
          <w:fldChar w:fldCharType="begin"/>
        </w:r>
        <w:r w:rsidR="000A3998" w:rsidRPr="00B3366D">
          <w:rPr>
            <w:rFonts w:ascii="Arial" w:hAnsi="Arial" w:cs="Arial"/>
            <w:sz w:val="20"/>
            <w:szCs w:val="20"/>
          </w:rPr>
          <w:instrText xml:space="preserve"> PAGE   \* MERGEFORMAT </w:instrText>
        </w:r>
        <w:r w:rsidRPr="00B3366D">
          <w:rPr>
            <w:rFonts w:ascii="Arial" w:hAnsi="Arial" w:cs="Arial"/>
            <w:sz w:val="20"/>
            <w:szCs w:val="20"/>
          </w:rPr>
          <w:fldChar w:fldCharType="separate"/>
        </w:r>
        <w:r w:rsidR="00D418C3">
          <w:rPr>
            <w:rFonts w:ascii="Arial" w:hAnsi="Arial" w:cs="Arial"/>
            <w:noProof/>
            <w:sz w:val="20"/>
            <w:szCs w:val="20"/>
          </w:rPr>
          <w:t>19</w:t>
        </w:r>
        <w:r w:rsidRPr="00B3366D">
          <w:rPr>
            <w:rFonts w:ascii="Arial" w:hAnsi="Arial" w:cs="Arial"/>
            <w:sz w:val="20"/>
            <w:szCs w:val="20"/>
          </w:rPr>
          <w:fldChar w:fldCharType="end"/>
        </w:r>
      </w:p>
    </w:sdtContent>
  </w:sdt>
  <w:p w:rsidR="000A3998" w:rsidRDefault="000A3998" w:rsidP="00C87436">
    <w:pPr>
      <w:pStyle w:val="Footer"/>
      <w:jc w:val="center"/>
    </w:pPr>
    <w:r w:rsidRPr="00B3366D">
      <w:rPr>
        <w:noProof/>
        <w:lang w:eastAsia="en-GB"/>
      </w:rPr>
      <w:drawing>
        <wp:inline distT="0" distB="0" distL="0" distR="0">
          <wp:extent cx="942975" cy="230104"/>
          <wp:effectExtent l="19050" t="0" r="9525" b="0"/>
          <wp:docPr id="10" name="Picture 2" descr="ekosge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sgen_logo_small"/>
                  <pic:cNvPicPr>
                    <a:picLocks noChangeAspect="1" noChangeArrowheads="1"/>
                  </pic:cNvPicPr>
                </pic:nvPicPr>
                <pic:blipFill>
                  <a:blip r:embed="rId1"/>
                  <a:srcRect/>
                  <a:stretch>
                    <a:fillRect/>
                  </a:stretch>
                </pic:blipFill>
                <pic:spPr bwMode="auto">
                  <a:xfrm>
                    <a:off x="0" y="0"/>
                    <a:ext cx="942975" cy="23010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46" w:rsidRDefault="00602146" w:rsidP="00971925">
      <w:r>
        <w:separator/>
      </w:r>
    </w:p>
  </w:footnote>
  <w:footnote w:type="continuationSeparator" w:id="0">
    <w:p w:rsidR="00602146" w:rsidRDefault="00602146" w:rsidP="00971925">
      <w:r>
        <w:continuationSeparator/>
      </w:r>
    </w:p>
  </w:footnote>
  <w:footnote w:id="1">
    <w:p w:rsidR="000A3998" w:rsidRPr="00DE1B46" w:rsidRDefault="000A3998" w:rsidP="00C66A67">
      <w:pPr>
        <w:pStyle w:val="FootnoteText"/>
        <w:rPr>
          <w:rFonts w:ascii="Arial" w:hAnsi="Arial" w:cs="Arial"/>
          <w:sz w:val="16"/>
          <w:szCs w:val="16"/>
        </w:rPr>
      </w:pPr>
      <w:r w:rsidRPr="00DE1B46">
        <w:rPr>
          <w:rStyle w:val="FootnoteReference"/>
          <w:rFonts w:ascii="Arial" w:hAnsi="Arial" w:cs="Arial"/>
          <w:sz w:val="16"/>
          <w:szCs w:val="16"/>
        </w:rPr>
        <w:footnoteRef/>
      </w:r>
      <w:r w:rsidRPr="00DE1B46">
        <w:rPr>
          <w:rFonts w:ascii="Arial" w:hAnsi="Arial" w:cs="Arial"/>
          <w:sz w:val="16"/>
          <w:szCs w:val="16"/>
        </w:rPr>
        <w:t xml:space="preserve"> For example, benefits accruing to sectors that rely on the visitor economy through the supply chain </w:t>
      </w:r>
    </w:p>
  </w:footnote>
  <w:footnote w:id="2">
    <w:p w:rsidR="000A3998" w:rsidRPr="004911D8" w:rsidRDefault="000A3998" w:rsidP="00C66A67">
      <w:pPr>
        <w:pStyle w:val="FootnoteText"/>
        <w:rPr>
          <w:rFonts w:ascii="Arial" w:hAnsi="Arial" w:cs="Arial"/>
          <w:sz w:val="16"/>
          <w:szCs w:val="16"/>
        </w:rPr>
      </w:pPr>
      <w:r w:rsidRPr="004911D8">
        <w:rPr>
          <w:rStyle w:val="FootnoteReference"/>
          <w:rFonts w:ascii="Arial" w:hAnsi="Arial" w:cs="Arial"/>
          <w:sz w:val="16"/>
          <w:szCs w:val="16"/>
        </w:rPr>
        <w:footnoteRef/>
      </w:r>
      <w:r w:rsidRPr="004911D8">
        <w:rPr>
          <w:rFonts w:ascii="Arial" w:hAnsi="Arial" w:cs="Arial"/>
          <w:sz w:val="16"/>
          <w:szCs w:val="16"/>
        </w:rPr>
        <w:t xml:space="preserve"> </w:t>
      </w:r>
      <w:bookmarkStart w:id="2" w:name="OLE_LINK3"/>
      <w:r w:rsidRPr="004911D8">
        <w:rPr>
          <w:rFonts w:ascii="Arial" w:hAnsi="Arial" w:cs="Arial"/>
          <w:sz w:val="16"/>
          <w:szCs w:val="16"/>
        </w:rPr>
        <w:t>Tourism in England Key Facts and Figures, Visit England</w:t>
      </w:r>
      <w:bookmarkEnd w:id="2"/>
    </w:p>
  </w:footnote>
  <w:footnote w:id="3">
    <w:p w:rsidR="000A3998" w:rsidRDefault="000A3998" w:rsidP="00C66A67">
      <w:pPr>
        <w:pStyle w:val="FootnoteText"/>
      </w:pPr>
      <w:r w:rsidRPr="00F050F0">
        <w:rPr>
          <w:rStyle w:val="FootnoteReference"/>
          <w:rFonts w:ascii="Arial" w:hAnsi="Arial" w:cs="Arial"/>
          <w:sz w:val="16"/>
          <w:szCs w:val="16"/>
        </w:rPr>
        <w:footnoteRef/>
      </w:r>
      <w:r w:rsidRPr="00F050F0">
        <w:rPr>
          <w:rFonts w:ascii="Arial" w:hAnsi="Arial" w:cs="Arial"/>
          <w:sz w:val="16"/>
          <w:szCs w:val="16"/>
        </w:rPr>
        <w:t xml:space="preserve"> Tourism</w:t>
      </w:r>
      <w:r w:rsidRPr="0065465C">
        <w:rPr>
          <w:rFonts w:ascii="Arial" w:hAnsi="Arial" w:cs="Arial"/>
          <w:sz w:val="16"/>
          <w:szCs w:val="16"/>
        </w:rPr>
        <w:t>: Jobs and Growth. The economic contribution of the tourism economy in the UK, Deloitte and Oxford Economics, November 2013</w:t>
      </w:r>
    </w:p>
  </w:footnote>
  <w:footnote w:id="4">
    <w:p w:rsidR="000A3998" w:rsidRPr="003E59D5" w:rsidRDefault="000A3998" w:rsidP="00C66A67">
      <w:pPr>
        <w:pStyle w:val="FootnoteText"/>
        <w:rPr>
          <w:rFonts w:ascii="Arial" w:hAnsi="Arial" w:cs="Arial"/>
          <w:sz w:val="16"/>
          <w:szCs w:val="16"/>
        </w:rPr>
      </w:pPr>
      <w:r w:rsidRPr="003E59D5">
        <w:rPr>
          <w:rStyle w:val="FootnoteReference"/>
          <w:rFonts w:ascii="Arial" w:hAnsi="Arial" w:cs="Arial"/>
          <w:sz w:val="16"/>
          <w:szCs w:val="16"/>
        </w:rPr>
        <w:footnoteRef/>
      </w:r>
      <w:r w:rsidRPr="003E59D5">
        <w:rPr>
          <w:rFonts w:ascii="Arial" w:hAnsi="Arial" w:cs="Arial"/>
          <w:sz w:val="16"/>
          <w:szCs w:val="16"/>
        </w:rPr>
        <w:t xml:space="preserve"> </w:t>
      </w:r>
      <w:r>
        <w:rPr>
          <w:rFonts w:ascii="Arial" w:hAnsi="Arial" w:cs="Arial"/>
          <w:sz w:val="16"/>
          <w:szCs w:val="16"/>
        </w:rPr>
        <w:t xml:space="preserve">England Tourism Factsheet, Visit England, May 2015 </w:t>
      </w:r>
      <w:r w:rsidRPr="003E59D5">
        <w:rPr>
          <w:rFonts w:ascii="Arial" w:hAnsi="Arial" w:cs="Arial"/>
          <w:sz w:val="16"/>
          <w:szCs w:val="16"/>
        </w:rPr>
        <w:t xml:space="preserve"> </w:t>
      </w:r>
    </w:p>
  </w:footnote>
  <w:footnote w:id="5">
    <w:p w:rsidR="000A3998" w:rsidRPr="0062692D" w:rsidRDefault="000A3998" w:rsidP="00C66A67">
      <w:pPr>
        <w:pStyle w:val="FootnoteText"/>
        <w:rPr>
          <w:rFonts w:ascii="Arial" w:hAnsi="Arial" w:cs="Arial"/>
          <w:sz w:val="16"/>
          <w:szCs w:val="16"/>
        </w:rPr>
      </w:pPr>
      <w:r w:rsidRPr="0062692D">
        <w:rPr>
          <w:rStyle w:val="FootnoteReference"/>
          <w:rFonts w:ascii="Arial" w:hAnsi="Arial" w:cs="Arial"/>
          <w:sz w:val="16"/>
          <w:szCs w:val="16"/>
        </w:rPr>
        <w:footnoteRef/>
      </w:r>
      <w:r w:rsidRPr="0062692D">
        <w:rPr>
          <w:rFonts w:ascii="Arial" w:hAnsi="Arial" w:cs="Arial"/>
          <w:sz w:val="16"/>
          <w:szCs w:val="16"/>
        </w:rPr>
        <w:t xml:space="preserve"> Tourism in England: Key facts and trends, Visit England</w:t>
      </w:r>
    </w:p>
  </w:footnote>
  <w:footnote w:id="6">
    <w:p w:rsidR="000A3998" w:rsidRPr="0065465C" w:rsidRDefault="000A3998" w:rsidP="00C66A67">
      <w:pPr>
        <w:pStyle w:val="FootnoteText"/>
        <w:rPr>
          <w:rFonts w:ascii="Arial" w:hAnsi="Arial" w:cs="Arial"/>
          <w:sz w:val="16"/>
          <w:szCs w:val="16"/>
        </w:rPr>
      </w:pPr>
      <w:r w:rsidRPr="0065465C">
        <w:rPr>
          <w:rStyle w:val="FootnoteReference"/>
          <w:rFonts w:ascii="Arial" w:hAnsi="Arial" w:cs="Arial"/>
          <w:sz w:val="16"/>
          <w:szCs w:val="16"/>
        </w:rPr>
        <w:footnoteRef/>
      </w:r>
      <w:r w:rsidRPr="0065465C">
        <w:rPr>
          <w:rFonts w:ascii="Arial" w:hAnsi="Arial" w:cs="Arial"/>
          <w:sz w:val="16"/>
          <w:szCs w:val="16"/>
        </w:rPr>
        <w:t xml:space="preserve"> Tourism: Jobs and Growth. The economic contribution of the tourism economy in the UK, Deloitte and Oxford Economics, November 2013</w:t>
      </w:r>
    </w:p>
  </w:footnote>
  <w:footnote w:id="7">
    <w:p w:rsidR="000A3998" w:rsidRPr="00A20AFA" w:rsidRDefault="000A3998" w:rsidP="00C66A67">
      <w:pPr>
        <w:pStyle w:val="FootnoteText"/>
        <w:rPr>
          <w:rFonts w:ascii="Arial" w:hAnsi="Arial" w:cs="Arial"/>
          <w:sz w:val="16"/>
          <w:szCs w:val="16"/>
        </w:rPr>
      </w:pPr>
      <w:r w:rsidRPr="00A20AFA">
        <w:rPr>
          <w:rStyle w:val="FootnoteReference"/>
          <w:rFonts w:ascii="Arial" w:hAnsi="Arial" w:cs="Arial"/>
          <w:sz w:val="16"/>
          <w:szCs w:val="16"/>
        </w:rPr>
        <w:footnoteRef/>
      </w:r>
      <w:r w:rsidRPr="00A20AFA">
        <w:rPr>
          <w:rFonts w:ascii="Arial" w:hAnsi="Arial" w:cs="Arial"/>
          <w:sz w:val="16"/>
          <w:szCs w:val="16"/>
        </w:rPr>
        <w:t xml:space="preserve"> Tourism: Jobs and Growth. The economic contribution of the tourism economy in the UK, Deloitte and Oxford Economics, November 2013</w:t>
      </w:r>
    </w:p>
  </w:footnote>
  <w:footnote w:id="8">
    <w:p w:rsidR="000A3998" w:rsidRPr="009F6491" w:rsidRDefault="000A3998" w:rsidP="00C66A67">
      <w:pPr>
        <w:pStyle w:val="FootnoteText"/>
        <w:rPr>
          <w:rFonts w:ascii="Arial" w:hAnsi="Arial" w:cs="Arial"/>
          <w:sz w:val="16"/>
          <w:szCs w:val="16"/>
        </w:rPr>
      </w:pPr>
      <w:r w:rsidRPr="009F6491">
        <w:rPr>
          <w:rStyle w:val="FootnoteReference"/>
          <w:rFonts w:ascii="Arial" w:hAnsi="Arial" w:cs="Arial"/>
          <w:sz w:val="16"/>
          <w:szCs w:val="16"/>
        </w:rPr>
        <w:footnoteRef/>
      </w:r>
      <w:r w:rsidRPr="009F6491">
        <w:rPr>
          <w:rFonts w:ascii="Arial" w:hAnsi="Arial" w:cs="Arial"/>
          <w:sz w:val="16"/>
          <w:szCs w:val="16"/>
        </w:rPr>
        <w:t xml:space="preserve"> Taken as accommodation; food and beverage service activities; travel agency, tour operator and other; arts, entertainment and gambling activities</w:t>
      </w:r>
    </w:p>
  </w:footnote>
  <w:footnote w:id="9">
    <w:p w:rsidR="000A3998" w:rsidRPr="00C44FCF" w:rsidRDefault="000A3998" w:rsidP="00C66A67">
      <w:pPr>
        <w:pStyle w:val="FootnoteText"/>
        <w:rPr>
          <w:rFonts w:ascii="Arial" w:hAnsi="Arial" w:cs="Arial"/>
          <w:sz w:val="16"/>
          <w:szCs w:val="16"/>
        </w:rPr>
      </w:pPr>
      <w:r w:rsidRPr="00C44FCF">
        <w:rPr>
          <w:rStyle w:val="FootnoteReference"/>
          <w:rFonts w:ascii="Arial" w:hAnsi="Arial" w:cs="Arial"/>
          <w:sz w:val="16"/>
          <w:szCs w:val="16"/>
        </w:rPr>
        <w:footnoteRef/>
      </w:r>
      <w:r w:rsidRPr="00C44FCF">
        <w:rPr>
          <w:rFonts w:ascii="Arial" w:hAnsi="Arial" w:cs="Arial"/>
          <w:sz w:val="16"/>
          <w:szCs w:val="16"/>
        </w:rPr>
        <w:t xml:space="preserve"> England Tourism Factsheet, Visit England </w:t>
      </w:r>
    </w:p>
  </w:footnote>
  <w:footnote w:id="10">
    <w:p w:rsidR="000A3998" w:rsidRPr="006400A2" w:rsidRDefault="000A3998" w:rsidP="00C66A67">
      <w:pPr>
        <w:pStyle w:val="FootnoteText"/>
        <w:rPr>
          <w:rFonts w:ascii="Arial" w:hAnsi="Arial" w:cs="Arial"/>
          <w:sz w:val="16"/>
          <w:szCs w:val="16"/>
        </w:rPr>
      </w:pPr>
      <w:r w:rsidRPr="006400A2">
        <w:rPr>
          <w:rStyle w:val="FootnoteReference"/>
          <w:rFonts w:ascii="Arial" w:hAnsi="Arial" w:cs="Arial"/>
          <w:sz w:val="16"/>
          <w:szCs w:val="16"/>
        </w:rPr>
        <w:footnoteRef/>
      </w:r>
      <w:r w:rsidRPr="006400A2">
        <w:rPr>
          <w:rFonts w:ascii="Arial" w:hAnsi="Arial" w:cs="Arial"/>
          <w:sz w:val="16"/>
          <w:szCs w:val="16"/>
        </w:rPr>
        <w:t xml:space="preserve"> Visit Britain forecasts, December 2014</w:t>
      </w:r>
    </w:p>
  </w:footnote>
  <w:footnote w:id="11">
    <w:p w:rsidR="000A3998" w:rsidRPr="00E44233" w:rsidRDefault="000A3998" w:rsidP="00C66A67">
      <w:pPr>
        <w:pStyle w:val="FootnoteText"/>
        <w:rPr>
          <w:rFonts w:ascii="Arial" w:hAnsi="Arial" w:cs="Arial"/>
          <w:sz w:val="16"/>
          <w:szCs w:val="16"/>
        </w:rPr>
      </w:pPr>
      <w:r w:rsidRPr="00E44233">
        <w:rPr>
          <w:rStyle w:val="FootnoteReference"/>
          <w:rFonts w:ascii="Arial" w:hAnsi="Arial" w:cs="Arial"/>
          <w:sz w:val="16"/>
          <w:szCs w:val="16"/>
        </w:rPr>
        <w:footnoteRef/>
      </w:r>
      <w:r w:rsidRPr="00E44233">
        <w:rPr>
          <w:rFonts w:ascii="Arial" w:hAnsi="Arial" w:cs="Arial"/>
          <w:sz w:val="16"/>
          <w:szCs w:val="16"/>
        </w:rPr>
        <w:t xml:space="preserve"> England Tourism Factsheet, Visit England</w:t>
      </w:r>
    </w:p>
  </w:footnote>
  <w:footnote w:id="12">
    <w:p w:rsidR="000A3998" w:rsidRPr="00AA3833" w:rsidRDefault="000A3998" w:rsidP="00C66A67">
      <w:pPr>
        <w:pStyle w:val="FootnoteText"/>
        <w:rPr>
          <w:rFonts w:ascii="Arial" w:hAnsi="Arial" w:cs="Arial"/>
          <w:sz w:val="16"/>
          <w:szCs w:val="16"/>
        </w:rPr>
      </w:pPr>
      <w:r w:rsidRPr="00AA3833">
        <w:rPr>
          <w:rStyle w:val="FootnoteReference"/>
          <w:rFonts w:ascii="Arial" w:hAnsi="Arial" w:cs="Arial"/>
          <w:sz w:val="16"/>
          <w:szCs w:val="16"/>
        </w:rPr>
        <w:footnoteRef/>
      </w:r>
      <w:r w:rsidRPr="00AA3833">
        <w:rPr>
          <w:rFonts w:ascii="Arial" w:hAnsi="Arial" w:cs="Arial"/>
          <w:sz w:val="16"/>
          <w:szCs w:val="16"/>
        </w:rPr>
        <w:t xml:space="preserve"> UK Event Market Trends Survey 2014</w:t>
      </w:r>
    </w:p>
  </w:footnote>
  <w:footnote w:id="13">
    <w:p w:rsidR="000A3998" w:rsidRPr="00624BE5" w:rsidRDefault="000A3998" w:rsidP="00C66A67">
      <w:pPr>
        <w:pStyle w:val="FootnoteText"/>
        <w:rPr>
          <w:rFonts w:ascii="Arial" w:hAnsi="Arial" w:cs="Arial"/>
          <w:sz w:val="16"/>
          <w:szCs w:val="16"/>
        </w:rPr>
      </w:pPr>
      <w:r w:rsidRPr="00624BE5">
        <w:rPr>
          <w:rStyle w:val="FootnoteReference"/>
          <w:rFonts w:ascii="Arial" w:hAnsi="Arial" w:cs="Arial"/>
          <w:sz w:val="16"/>
          <w:szCs w:val="16"/>
        </w:rPr>
        <w:footnoteRef/>
      </w:r>
      <w:r w:rsidRPr="00624BE5">
        <w:rPr>
          <w:rFonts w:ascii="Arial" w:hAnsi="Arial" w:cs="Arial"/>
          <w:sz w:val="16"/>
          <w:szCs w:val="16"/>
        </w:rPr>
        <w:t xml:space="preserve"> England’s Seaside: What are the opportunities? Visit England, 2013</w:t>
      </w:r>
    </w:p>
  </w:footnote>
  <w:footnote w:id="14">
    <w:p w:rsidR="000A3998" w:rsidRPr="00624BE5" w:rsidRDefault="000A3998" w:rsidP="00C66A67">
      <w:pPr>
        <w:pStyle w:val="FootnoteText"/>
        <w:rPr>
          <w:rFonts w:ascii="Arial" w:hAnsi="Arial" w:cs="Arial"/>
          <w:sz w:val="16"/>
          <w:szCs w:val="16"/>
        </w:rPr>
      </w:pPr>
      <w:r w:rsidRPr="00624BE5">
        <w:rPr>
          <w:rStyle w:val="FootnoteReference"/>
          <w:rFonts w:ascii="Arial" w:hAnsi="Arial" w:cs="Arial"/>
          <w:sz w:val="16"/>
          <w:szCs w:val="16"/>
        </w:rPr>
        <w:footnoteRef/>
      </w:r>
      <w:r w:rsidRPr="00624BE5">
        <w:rPr>
          <w:rFonts w:ascii="Arial" w:hAnsi="Arial" w:cs="Arial"/>
          <w:sz w:val="16"/>
          <w:szCs w:val="16"/>
        </w:rPr>
        <w:t xml:space="preserve"> </w:t>
      </w:r>
      <w:bookmarkStart w:id="3" w:name="OLE_LINK1"/>
      <w:bookmarkStart w:id="4" w:name="OLE_LINK2"/>
      <w:r w:rsidRPr="00624BE5">
        <w:rPr>
          <w:rFonts w:ascii="Arial" w:hAnsi="Arial" w:cs="Arial"/>
          <w:sz w:val="16"/>
          <w:szCs w:val="16"/>
        </w:rPr>
        <w:t>Urban England: What are the opportunities? Visit England, 2013</w:t>
      </w:r>
      <w:bookmarkEnd w:id="3"/>
      <w:bookmarkEnd w:id="4"/>
    </w:p>
  </w:footnote>
  <w:footnote w:id="15">
    <w:p w:rsidR="000A3998" w:rsidRPr="00624BE5" w:rsidRDefault="000A3998" w:rsidP="00C66A67">
      <w:pPr>
        <w:pStyle w:val="FootnoteText"/>
        <w:rPr>
          <w:rFonts w:ascii="Arial" w:hAnsi="Arial" w:cs="Arial"/>
          <w:sz w:val="16"/>
          <w:szCs w:val="16"/>
        </w:rPr>
      </w:pPr>
      <w:r w:rsidRPr="00624BE5">
        <w:rPr>
          <w:rStyle w:val="FootnoteReference"/>
          <w:rFonts w:ascii="Arial" w:hAnsi="Arial" w:cs="Arial"/>
          <w:sz w:val="16"/>
          <w:szCs w:val="16"/>
        </w:rPr>
        <w:footnoteRef/>
      </w:r>
      <w:r w:rsidRPr="00624BE5">
        <w:rPr>
          <w:rFonts w:ascii="Arial" w:hAnsi="Arial" w:cs="Arial"/>
          <w:sz w:val="16"/>
          <w:szCs w:val="16"/>
        </w:rPr>
        <w:t xml:space="preserve"> England’s Countryside: What are the opportunities? Visit England, 2013</w:t>
      </w:r>
    </w:p>
  </w:footnote>
  <w:footnote w:id="16">
    <w:p w:rsidR="000A3998" w:rsidRPr="007342F0" w:rsidRDefault="000A3998" w:rsidP="00C66A67">
      <w:pPr>
        <w:pStyle w:val="FootnoteText"/>
        <w:rPr>
          <w:rFonts w:ascii="Arial" w:hAnsi="Arial" w:cs="Arial"/>
          <w:sz w:val="16"/>
          <w:szCs w:val="16"/>
        </w:rPr>
      </w:pPr>
      <w:r w:rsidRPr="007342F0">
        <w:rPr>
          <w:rStyle w:val="FootnoteReference"/>
          <w:rFonts w:ascii="Arial" w:hAnsi="Arial" w:cs="Arial"/>
          <w:sz w:val="16"/>
          <w:szCs w:val="16"/>
        </w:rPr>
        <w:footnoteRef/>
      </w:r>
      <w:r w:rsidRPr="007342F0">
        <w:rPr>
          <w:rFonts w:ascii="Arial" w:hAnsi="Arial" w:cs="Arial"/>
          <w:sz w:val="16"/>
          <w:szCs w:val="16"/>
        </w:rPr>
        <w:t xml:space="preserve"> Institute of Hospitality Digest 2014</w:t>
      </w:r>
    </w:p>
  </w:footnote>
  <w:footnote w:id="17">
    <w:p w:rsidR="000A3998" w:rsidRPr="00D241B7" w:rsidRDefault="000A3998" w:rsidP="005D26D0">
      <w:pPr>
        <w:pStyle w:val="FootnoteText"/>
        <w:rPr>
          <w:rFonts w:ascii="Arial" w:hAnsi="Arial" w:cs="Arial"/>
          <w:sz w:val="16"/>
          <w:szCs w:val="16"/>
        </w:rPr>
      </w:pPr>
      <w:r w:rsidRPr="00D241B7">
        <w:rPr>
          <w:rStyle w:val="FootnoteReference"/>
          <w:rFonts w:ascii="Arial" w:hAnsi="Arial" w:cs="Arial"/>
          <w:sz w:val="16"/>
          <w:szCs w:val="16"/>
        </w:rPr>
        <w:footnoteRef/>
      </w:r>
      <w:r w:rsidRPr="00D241B7">
        <w:rPr>
          <w:rFonts w:ascii="Arial" w:hAnsi="Arial" w:cs="Arial"/>
          <w:sz w:val="16"/>
          <w:szCs w:val="16"/>
        </w:rPr>
        <w:t xml:space="preserve"> Visit England website, Refreshing the Growth Strategy for England’s Tourism Industry</w:t>
      </w:r>
    </w:p>
  </w:footnote>
  <w:footnote w:id="18">
    <w:p w:rsidR="000A3998" w:rsidRPr="004F72F1" w:rsidRDefault="000A3998" w:rsidP="00C66A67">
      <w:pPr>
        <w:pStyle w:val="FootnoteText"/>
        <w:rPr>
          <w:rFonts w:ascii="Arial" w:hAnsi="Arial" w:cs="Arial"/>
          <w:sz w:val="16"/>
          <w:szCs w:val="16"/>
        </w:rPr>
      </w:pPr>
      <w:r w:rsidRPr="004F72F1">
        <w:rPr>
          <w:rStyle w:val="FootnoteReference"/>
          <w:rFonts w:ascii="Arial" w:hAnsi="Arial" w:cs="Arial"/>
          <w:sz w:val="16"/>
          <w:szCs w:val="16"/>
        </w:rPr>
        <w:footnoteRef/>
      </w:r>
      <w:r w:rsidRPr="004F72F1">
        <w:rPr>
          <w:rFonts w:ascii="Arial" w:hAnsi="Arial" w:cs="Arial"/>
          <w:sz w:val="16"/>
          <w:szCs w:val="16"/>
        </w:rPr>
        <w:t xml:space="preserve"> Available at: </w:t>
      </w:r>
      <w:hyperlink r:id="rId1" w:history="1">
        <w:r w:rsidRPr="004F72F1">
          <w:rPr>
            <w:rStyle w:val="Hyperlink"/>
            <w:rFonts w:ascii="Arial" w:eastAsiaTheme="majorEastAsia" w:hAnsi="Arial" w:cs="Arial"/>
            <w:sz w:val="16"/>
            <w:szCs w:val="16"/>
          </w:rPr>
          <w:t>https://www.visitengland.com/sites/default/files/downloads/final_skills_action_plan_1_june_2012_0.pdf</w:t>
        </w:r>
      </w:hyperlink>
      <w:r w:rsidRPr="004F72F1">
        <w:rPr>
          <w:rFonts w:ascii="Arial" w:hAnsi="Arial" w:cs="Arial"/>
          <w:sz w:val="16"/>
          <w:szCs w:val="16"/>
        </w:rPr>
        <w:t xml:space="preserve"> </w:t>
      </w:r>
    </w:p>
  </w:footnote>
  <w:footnote w:id="19">
    <w:p w:rsidR="000A3998" w:rsidRPr="00873836" w:rsidRDefault="000A3998" w:rsidP="00C66A67">
      <w:pPr>
        <w:pStyle w:val="FootnoteText"/>
        <w:rPr>
          <w:rFonts w:ascii="Arial" w:hAnsi="Arial" w:cs="Arial"/>
          <w:sz w:val="16"/>
          <w:szCs w:val="16"/>
        </w:rPr>
      </w:pPr>
      <w:r w:rsidRPr="00873836">
        <w:rPr>
          <w:rStyle w:val="FootnoteReference"/>
          <w:rFonts w:ascii="Arial" w:hAnsi="Arial" w:cs="Arial"/>
          <w:sz w:val="16"/>
          <w:szCs w:val="16"/>
        </w:rPr>
        <w:footnoteRef/>
      </w:r>
      <w:r w:rsidRPr="00873836">
        <w:rPr>
          <w:rFonts w:ascii="Arial" w:hAnsi="Arial" w:cs="Arial"/>
          <w:sz w:val="16"/>
          <w:szCs w:val="16"/>
        </w:rPr>
        <w:t xml:space="preserve"> STEAM (Scarborough Tourism Economic Activity Monitor) model data</w:t>
      </w:r>
      <w:r>
        <w:rPr>
          <w:rFonts w:ascii="Arial" w:hAnsi="Arial" w:cs="Arial"/>
          <w:sz w:val="16"/>
          <w:szCs w:val="16"/>
        </w:rPr>
        <w:t xml:space="preserve">, </w:t>
      </w:r>
      <w:r w:rsidRPr="00873836">
        <w:rPr>
          <w:rFonts w:ascii="Arial" w:hAnsi="Arial" w:cs="Arial"/>
          <w:sz w:val="16"/>
          <w:szCs w:val="16"/>
        </w:rPr>
        <w:t>2013</w:t>
      </w:r>
    </w:p>
  </w:footnote>
  <w:footnote w:id="20">
    <w:p w:rsidR="000A3998" w:rsidRPr="00873836" w:rsidRDefault="000A3998" w:rsidP="00C66A67">
      <w:pPr>
        <w:pStyle w:val="FootnoteText"/>
        <w:rPr>
          <w:rFonts w:ascii="Arial" w:hAnsi="Arial" w:cs="Arial"/>
          <w:sz w:val="16"/>
          <w:szCs w:val="16"/>
        </w:rPr>
      </w:pPr>
      <w:r w:rsidRPr="00873836">
        <w:rPr>
          <w:rStyle w:val="FootnoteReference"/>
          <w:rFonts w:ascii="Arial" w:hAnsi="Arial" w:cs="Arial"/>
          <w:sz w:val="16"/>
          <w:szCs w:val="16"/>
        </w:rPr>
        <w:footnoteRef/>
      </w:r>
      <w:r w:rsidRPr="00873836">
        <w:rPr>
          <w:rFonts w:ascii="Arial" w:hAnsi="Arial" w:cs="Arial"/>
          <w:sz w:val="16"/>
          <w:szCs w:val="16"/>
        </w:rPr>
        <w:t xml:space="preserve"> </w:t>
      </w:r>
      <w:r>
        <w:rPr>
          <w:rFonts w:ascii="Arial" w:hAnsi="Arial" w:cs="Arial"/>
          <w:sz w:val="16"/>
          <w:szCs w:val="16"/>
        </w:rPr>
        <w:t>T</w:t>
      </w:r>
      <w:r w:rsidRPr="00873836">
        <w:rPr>
          <w:rFonts w:ascii="Arial" w:hAnsi="Arial" w:cs="Arial"/>
          <w:sz w:val="16"/>
          <w:szCs w:val="16"/>
        </w:rPr>
        <w:t xml:space="preserve">he main home locations for day trip visitors to Lancashire are the North West, Yorkshire and the West Midlands. </w:t>
      </w:r>
    </w:p>
  </w:footnote>
  <w:footnote w:id="21">
    <w:p w:rsidR="000A3998" w:rsidRPr="00873836" w:rsidRDefault="000A3998" w:rsidP="00C66A67">
      <w:pPr>
        <w:pStyle w:val="FootnoteText"/>
        <w:rPr>
          <w:rFonts w:ascii="Arial" w:hAnsi="Arial" w:cs="Arial"/>
          <w:sz w:val="16"/>
          <w:szCs w:val="16"/>
        </w:rPr>
      </w:pPr>
      <w:r>
        <w:rPr>
          <w:rStyle w:val="FootnoteReference"/>
        </w:rPr>
        <w:footnoteRef/>
      </w:r>
      <w:r>
        <w:t xml:space="preserve"> </w:t>
      </w:r>
      <w:r w:rsidRPr="00873836">
        <w:rPr>
          <w:rFonts w:ascii="Arial" w:hAnsi="Arial" w:cs="Arial"/>
          <w:sz w:val="16"/>
          <w:szCs w:val="16"/>
        </w:rPr>
        <w:t>Blackpool Council survey</w:t>
      </w:r>
    </w:p>
  </w:footnote>
  <w:footnote w:id="22">
    <w:p w:rsidR="000A3998" w:rsidRPr="00F003B8" w:rsidRDefault="000A3998" w:rsidP="00C66A67">
      <w:pPr>
        <w:pStyle w:val="FootnoteText"/>
        <w:rPr>
          <w:rFonts w:ascii="Arial" w:hAnsi="Arial" w:cs="Arial"/>
          <w:sz w:val="16"/>
          <w:szCs w:val="16"/>
        </w:rPr>
      </w:pPr>
      <w:r w:rsidRPr="00F003B8">
        <w:rPr>
          <w:rStyle w:val="FootnoteReference"/>
          <w:rFonts w:ascii="Arial" w:hAnsi="Arial" w:cs="Arial"/>
          <w:sz w:val="16"/>
          <w:szCs w:val="16"/>
        </w:rPr>
        <w:footnoteRef/>
      </w:r>
      <w:r w:rsidRPr="00F003B8">
        <w:rPr>
          <w:rFonts w:ascii="Arial" w:hAnsi="Arial" w:cs="Arial"/>
          <w:sz w:val="16"/>
          <w:szCs w:val="16"/>
        </w:rPr>
        <w:t xml:space="preserve"> International Passenger Survey, ONS</w:t>
      </w:r>
    </w:p>
  </w:footnote>
  <w:footnote w:id="23">
    <w:p w:rsidR="000A3998" w:rsidRDefault="000A3998" w:rsidP="00C66A67">
      <w:pPr>
        <w:pStyle w:val="FootnoteText"/>
      </w:pPr>
      <w:r w:rsidRPr="00C16E8A">
        <w:rPr>
          <w:rStyle w:val="FootnoteReference"/>
          <w:rFonts w:ascii="Arial" w:hAnsi="Arial" w:cs="Arial"/>
          <w:sz w:val="16"/>
          <w:szCs w:val="16"/>
        </w:rPr>
        <w:footnoteRef/>
      </w:r>
      <w:r>
        <w:t xml:space="preserve"> </w:t>
      </w:r>
      <w:hyperlink r:id="rId2" w:history="1">
        <w:r w:rsidRPr="0078702A">
          <w:rPr>
            <w:rStyle w:val="Hyperlink"/>
            <w:rFonts w:ascii="Arial" w:hAnsi="Arial" w:cs="Arial"/>
            <w:sz w:val="16"/>
            <w:szCs w:val="16"/>
          </w:rPr>
          <w:t>http://mediafiles.thedms.co.uk/Publication/LM/cms/pdf/STEAM%20OVERVIEW~%20Eng-Wal-NI.pdf</w:t>
        </w:r>
      </w:hyperlink>
      <w:r>
        <w:t xml:space="preserve"> </w:t>
      </w:r>
    </w:p>
  </w:footnote>
  <w:footnote w:id="24">
    <w:p w:rsidR="000A3998" w:rsidRPr="001B3B06" w:rsidRDefault="000A3998" w:rsidP="00C66A67">
      <w:pPr>
        <w:pStyle w:val="FootnoteText"/>
        <w:rPr>
          <w:rFonts w:ascii="Arial" w:hAnsi="Arial" w:cs="Arial"/>
          <w:sz w:val="16"/>
          <w:szCs w:val="16"/>
        </w:rPr>
      </w:pPr>
      <w:r w:rsidRPr="001B3B06">
        <w:rPr>
          <w:rStyle w:val="FootnoteReference"/>
          <w:rFonts w:ascii="Arial" w:hAnsi="Arial" w:cs="Arial"/>
          <w:sz w:val="16"/>
          <w:szCs w:val="16"/>
        </w:rPr>
        <w:footnoteRef/>
      </w:r>
      <w:r w:rsidRPr="001B3B06">
        <w:rPr>
          <w:rFonts w:ascii="Arial" w:hAnsi="Arial" w:cs="Arial"/>
          <w:sz w:val="16"/>
          <w:szCs w:val="16"/>
        </w:rPr>
        <w:t xml:space="preserve"> National figures in this paper exclude London.  This reflects that the business base and employment profile of London is distinctly different to the rest of the country and therefore tends to distort national results. </w:t>
      </w:r>
    </w:p>
  </w:footnote>
  <w:footnote w:id="25">
    <w:p w:rsidR="000A3998" w:rsidRPr="00206FFF" w:rsidRDefault="000A3998" w:rsidP="00C66A67">
      <w:pPr>
        <w:pStyle w:val="FootnoteText"/>
        <w:rPr>
          <w:rFonts w:ascii="Arial" w:eastAsiaTheme="minorHAnsi" w:hAnsi="Arial" w:cs="Arial"/>
          <w:sz w:val="18"/>
          <w:szCs w:val="18"/>
          <w:lang w:eastAsia="en-US"/>
        </w:rPr>
      </w:pPr>
      <w:r w:rsidRPr="00206FFF">
        <w:rPr>
          <w:rStyle w:val="FootnoteReference"/>
          <w:rFonts w:ascii="Arial" w:hAnsi="Arial" w:cs="Arial"/>
          <w:sz w:val="18"/>
          <w:szCs w:val="18"/>
        </w:rPr>
        <w:footnoteRef/>
      </w:r>
      <w:r w:rsidRPr="00206FFF">
        <w:rPr>
          <w:rFonts w:ascii="Arial" w:hAnsi="Arial" w:cs="Arial"/>
          <w:sz w:val="18"/>
          <w:szCs w:val="18"/>
        </w:rPr>
        <w:t xml:space="preserve"> </w:t>
      </w:r>
      <w:r w:rsidRPr="00206FFF">
        <w:rPr>
          <w:rFonts w:ascii="Arial" w:eastAsiaTheme="minorHAnsi" w:hAnsi="Arial" w:cs="Arial"/>
          <w:sz w:val="18"/>
          <w:szCs w:val="18"/>
          <w:lang w:eastAsia="en-US"/>
        </w:rPr>
        <w:t>Those employing fewer than 50 people.</w:t>
      </w:r>
    </w:p>
  </w:footnote>
  <w:footnote w:id="26">
    <w:p w:rsidR="000A3998" w:rsidRPr="00295E22" w:rsidRDefault="000A3998" w:rsidP="00C66A67">
      <w:pPr>
        <w:tabs>
          <w:tab w:val="num" w:pos="860"/>
          <w:tab w:val="num" w:pos="1105"/>
        </w:tabs>
        <w:spacing w:before="120" w:after="120"/>
        <w:jc w:val="both"/>
        <w:rPr>
          <w:rFonts w:ascii="Arial" w:eastAsiaTheme="minorHAnsi" w:hAnsi="Arial" w:cs="Arial"/>
          <w:sz w:val="16"/>
          <w:szCs w:val="16"/>
        </w:rPr>
      </w:pPr>
      <w:r w:rsidRPr="00295E22">
        <w:rPr>
          <w:rStyle w:val="FootnoteReference"/>
          <w:rFonts w:ascii="Arial" w:hAnsi="Arial" w:cs="Arial"/>
          <w:sz w:val="16"/>
          <w:szCs w:val="16"/>
        </w:rPr>
        <w:footnoteRef/>
      </w:r>
      <w:r w:rsidRPr="00295E22">
        <w:rPr>
          <w:sz w:val="16"/>
          <w:szCs w:val="16"/>
        </w:rPr>
        <w:t xml:space="preserve"> </w:t>
      </w:r>
      <w:r w:rsidRPr="00295E22">
        <w:rPr>
          <w:rFonts w:ascii="Arial" w:eastAsiaTheme="minorHAnsi" w:hAnsi="Arial" w:cs="Arial"/>
          <w:sz w:val="16"/>
          <w:szCs w:val="16"/>
        </w:rPr>
        <w:t>The information presented in this section is based upon data taken from the Business Register and Employment Survey which provides data on both the number of people in employment, and the number of employees in an area. The ‘employment’ indicator is used in this study as it has a wider definition and therefore provides a more accurate indication of the scale of employment. The employment figure captures all people who are in employment, including working owners, which includes sole traders, sole proprietors and partners who receive drawings and/or a share of profits but are not paid via PAYE. However, it should be noted that despite these inclusions, BRES employment data does not capture all of self-employment.</w:t>
      </w:r>
    </w:p>
  </w:footnote>
  <w:footnote w:id="27">
    <w:p w:rsidR="000A3998" w:rsidRPr="005A10E5" w:rsidRDefault="000A3998" w:rsidP="00C66A67">
      <w:pPr>
        <w:pStyle w:val="FootnoteText"/>
        <w:jc w:val="both"/>
        <w:rPr>
          <w:rFonts w:ascii="Arial" w:hAnsi="Arial" w:cs="Arial"/>
          <w:sz w:val="16"/>
          <w:szCs w:val="16"/>
        </w:rPr>
      </w:pPr>
      <w:r w:rsidRPr="005A10E5">
        <w:rPr>
          <w:rStyle w:val="FootnoteReference"/>
          <w:rFonts w:ascii="Arial" w:hAnsi="Arial" w:cs="Arial"/>
          <w:sz w:val="16"/>
          <w:szCs w:val="16"/>
        </w:rPr>
        <w:footnoteRef/>
      </w:r>
      <w:r w:rsidRPr="005A10E5">
        <w:rPr>
          <w:rFonts w:ascii="Arial" w:hAnsi="Arial" w:cs="Arial"/>
          <w:sz w:val="16"/>
          <w:szCs w:val="16"/>
        </w:rPr>
        <w:t xml:space="preserve"> A </w:t>
      </w:r>
      <w:r w:rsidRPr="005A10E5">
        <w:rPr>
          <w:rFonts w:ascii="Arial" w:hAnsi="Arial" w:cs="Arial"/>
          <w:bCs/>
          <w:sz w:val="16"/>
          <w:szCs w:val="16"/>
        </w:rPr>
        <w:t>location quotient</w:t>
      </w:r>
      <w:r w:rsidRPr="005A10E5">
        <w:rPr>
          <w:rFonts w:ascii="Arial" w:hAnsi="Arial" w:cs="Arial"/>
          <w:sz w:val="16"/>
          <w:szCs w:val="16"/>
        </w:rPr>
        <w:t xml:space="preserve"> (LQ) is an analytical statistic that measures an area’s industrial specialisation relative to a larger geographic unit.  A LQ of 1 indicates that an industry’s representation is in line with the national average, a LQ of more than 1 indicates overrepresentation while a LQ of less than 1 indicates underrepresentation.</w:t>
      </w:r>
    </w:p>
  </w:footnote>
  <w:footnote w:id="28">
    <w:p w:rsidR="000A3998" w:rsidRPr="00EA53EA" w:rsidRDefault="000A3998" w:rsidP="00C66A67">
      <w:pPr>
        <w:pStyle w:val="FootnoteText"/>
        <w:rPr>
          <w:sz w:val="18"/>
          <w:szCs w:val="18"/>
        </w:rPr>
      </w:pPr>
      <w:r w:rsidRPr="00EA53EA">
        <w:rPr>
          <w:rFonts w:ascii="Arial" w:hAnsi="Arial" w:cs="Arial"/>
          <w:sz w:val="18"/>
          <w:szCs w:val="18"/>
          <w:vertAlign w:val="superscript"/>
        </w:rPr>
        <w:footnoteRef/>
      </w:r>
      <w:r w:rsidRPr="00EA53EA">
        <w:rPr>
          <w:rFonts w:ascii="Arial" w:hAnsi="Arial" w:cs="Arial"/>
          <w:sz w:val="18"/>
          <w:szCs w:val="18"/>
          <w:vertAlign w:val="superscript"/>
        </w:rPr>
        <w:t xml:space="preserve"> </w:t>
      </w:r>
      <w:r w:rsidRPr="00EA53EA">
        <w:rPr>
          <w:rFonts w:ascii="Arial" w:hAnsi="Arial" w:cs="Arial"/>
          <w:sz w:val="18"/>
          <w:szCs w:val="18"/>
        </w:rPr>
        <w:t>The North West and England figures have been indexed to allow for comparison against the Lancashire trend</w:t>
      </w:r>
      <w:r>
        <w:rPr>
          <w:rFonts w:ascii="Arial" w:hAnsi="Arial" w:cs="Arial"/>
          <w:sz w:val="18"/>
          <w:szCs w:val="18"/>
        </w:rPr>
        <w:t>.</w:t>
      </w:r>
    </w:p>
  </w:footnote>
  <w:footnote w:id="29">
    <w:p w:rsidR="000A3998" w:rsidRPr="003D6335" w:rsidRDefault="000A3998" w:rsidP="00C66A67">
      <w:pPr>
        <w:pStyle w:val="FootnoteText"/>
        <w:jc w:val="both"/>
        <w:rPr>
          <w:rFonts w:ascii="Arial" w:hAnsi="Arial" w:cs="Arial"/>
          <w:sz w:val="18"/>
          <w:szCs w:val="18"/>
        </w:rPr>
      </w:pPr>
      <w:r w:rsidRPr="003D6335">
        <w:rPr>
          <w:rStyle w:val="FootnoteReference"/>
          <w:rFonts w:ascii="Arial" w:hAnsi="Arial" w:cs="Arial"/>
          <w:sz w:val="18"/>
          <w:szCs w:val="18"/>
        </w:rPr>
        <w:footnoteRef/>
      </w:r>
      <w:r w:rsidRPr="003D6335">
        <w:rPr>
          <w:rFonts w:ascii="Arial" w:hAnsi="Arial" w:cs="Arial"/>
          <w:sz w:val="18"/>
          <w:szCs w:val="18"/>
        </w:rPr>
        <w:t xml:space="preserve"> Defined for the purpose of this analysis as a LQ of 1.2 or more (i.e. 20% or more significant than nationally) and 1,000 or more employees at the four digit SIC code level</w:t>
      </w:r>
      <w:r>
        <w:rPr>
          <w:rFonts w:ascii="Arial" w:hAnsi="Arial" w:cs="Arial"/>
          <w:sz w:val="18"/>
          <w:szCs w:val="18"/>
        </w:rPr>
        <w:t xml:space="preserve">.  </w:t>
      </w:r>
    </w:p>
  </w:footnote>
  <w:footnote w:id="30">
    <w:p w:rsidR="000A3998" w:rsidRPr="00BA0BE6" w:rsidRDefault="000A3998" w:rsidP="00C66A67">
      <w:pPr>
        <w:pStyle w:val="FootnoteText"/>
        <w:jc w:val="both"/>
        <w:rPr>
          <w:rFonts w:ascii="Arial" w:hAnsi="Arial" w:cs="Arial"/>
          <w:sz w:val="16"/>
          <w:szCs w:val="16"/>
        </w:rPr>
      </w:pPr>
      <w:r w:rsidRPr="00BA0BE6">
        <w:rPr>
          <w:rStyle w:val="FootnoteReference"/>
          <w:rFonts w:ascii="Arial" w:hAnsi="Arial" w:cs="Arial"/>
          <w:sz w:val="16"/>
          <w:szCs w:val="16"/>
        </w:rPr>
        <w:footnoteRef/>
      </w:r>
      <w:r w:rsidRPr="00BA0BE6">
        <w:rPr>
          <w:rFonts w:ascii="Arial" w:hAnsi="Arial" w:cs="Arial"/>
          <w:sz w:val="16"/>
          <w:szCs w:val="16"/>
        </w:rPr>
        <w:t xml:space="preserve"> In this context, a full time job involves more than 30 hours of paid work per week and a part time job involves 30 or fewer hours per week.  A full time and part time split is not available for BRES employment data (i.e. all employees plus the number of working owners) and the data presented here captures employees only.</w:t>
      </w:r>
    </w:p>
  </w:footnote>
  <w:footnote w:id="31">
    <w:p w:rsidR="000A3998" w:rsidRPr="00AB309B" w:rsidRDefault="000A3998" w:rsidP="00C66A67">
      <w:pPr>
        <w:pStyle w:val="FootnoteText"/>
        <w:rPr>
          <w:rFonts w:ascii="Arial" w:hAnsi="Arial" w:cs="Arial"/>
          <w:sz w:val="16"/>
          <w:szCs w:val="16"/>
        </w:rPr>
      </w:pPr>
      <w:r w:rsidRPr="00AB309B">
        <w:rPr>
          <w:rStyle w:val="FootnoteReference"/>
          <w:rFonts w:ascii="Arial" w:hAnsi="Arial" w:cs="Arial"/>
          <w:sz w:val="16"/>
          <w:szCs w:val="16"/>
        </w:rPr>
        <w:footnoteRef/>
      </w:r>
      <w:r w:rsidRPr="00AB309B">
        <w:rPr>
          <w:rFonts w:ascii="Arial" w:hAnsi="Arial" w:cs="Arial"/>
          <w:sz w:val="16"/>
          <w:szCs w:val="16"/>
        </w:rPr>
        <w:t xml:space="preserve"> Four digit SIC code level</w:t>
      </w:r>
    </w:p>
  </w:footnote>
  <w:footnote w:id="32">
    <w:p w:rsidR="000A3998" w:rsidRPr="00570B2F" w:rsidRDefault="000A3998">
      <w:pPr>
        <w:pStyle w:val="FootnoteText"/>
        <w:rPr>
          <w:rFonts w:ascii="Arial" w:hAnsi="Arial" w:cs="Arial"/>
          <w:sz w:val="16"/>
          <w:szCs w:val="16"/>
        </w:rPr>
      </w:pPr>
      <w:r w:rsidRPr="00570B2F">
        <w:rPr>
          <w:rStyle w:val="FootnoteReference"/>
          <w:rFonts w:ascii="Arial" w:hAnsi="Arial" w:cs="Arial"/>
          <w:sz w:val="16"/>
          <w:szCs w:val="16"/>
        </w:rPr>
        <w:footnoteRef/>
      </w:r>
      <w:r w:rsidRPr="00570B2F">
        <w:rPr>
          <w:rFonts w:ascii="Arial" w:hAnsi="Arial" w:cs="Arial"/>
          <w:sz w:val="16"/>
          <w:szCs w:val="16"/>
        </w:rPr>
        <w:t xml:space="preserve"> Global Tourism Solutions, 2015</w:t>
      </w:r>
    </w:p>
  </w:footnote>
  <w:footnote w:id="33">
    <w:p w:rsidR="000A3998" w:rsidRPr="00D0612C" w:rsidRDefault="000A3998" w:rsidP="00570B2F">
      <w:pPr>
        <w:pStyle w:val="FootnoteText"/>
        <w:rPr>
          <w:rFonts w:ascii="Arial" w:hAnsi="Arial" w:cs="Arial"/>
          <w:sz w:val="16"/>
          <w:szCs w:val="16"/>
        </w:rPr>
      </w:pPr>
      <w:r w:rsidRPr="00D0612C">
        <w:rPr>
          <w:rStyle w:val="FootnoteReference"/>
          <w:rFonts w:ascii="Arial" w:hAnsi="Arial" w:cs="Arial"/>
          <w:sz w:val="16"/>
          <w:szCs w:val="16"/>
        </w:rPr>
        <w:footnoteRef/>
      </w:r>
      <w:r w:rsidRPr="00D0612C">
        <w:rPr>
          <w:rFonts w:ascii="Arial" w:hAnsi="Arial" w:cs="Arial"/>
          <w:sz w:val="16"/>
          <w:szCs w:val="16"/>
        </w:rPr>
        <w:t xml:space="preserve"> </w:t>
      </w:r>
      <w:r w:rsidRPr="00A40EAD">
        <w:rPr>
          <w:rFonts w:ascii="Arial" w:hAnsi="Arial" w:cs="Arial"/>
          <w:i/>
          <w:sz w:val="16"/>
          <w:szCs w:val="16"/>
        </w:rPr>
        <w:t>Skills in Lancashire: A Comprehensive Evidence Base on Skills and Employment</w:t>
      </w:r>
      <w:r w:rsidRPr="00D0612C">
        <w:rPr>
          <w:rFonts w:ascii="Arial" w:hAnsi="Arial" w:cs="Arial"/>
          <w:sz w:val="16"/>
          <w:szCs w:val="16"/>
        </w:rPr>
        <w:t xml:space="preserve"> </w:t>
      </w:r>
      <w:r>
        <w:rPr>
          <w:rFonts w:ascii="Arial" w:hAnsi="Arial" w:cs="Arial"/>
          <w:sz w:val="16"/>
          <w:szCs w:val="16"/>
        </w:rPr>
        <w:t xml:space="preserve">(ekosgen, 2015) estimates all-sector replacement demand at 4%.  Anecdotal feedback from employers gathered for this study, plus a review of vacancy data, suggests that in the visitor economy it will be significantly higher. </w:t>
      </w:r>
    </w:p>
  </w:footnote>
  <w:footnote w:id="34">
    <w:p w:rsidR="000A3998" w:rsidRPr="00FD690C" w:rsidRDefault="000A3998" w:rsidP="00173777">
      <w:pPr>
        <w:pStyle w:val="FootnoteText"/>
        <w:rPr>
          <w:rFonts w:ascii="Arial" w:hAnsi="Arial" w:cs="Arial"/>
          <w:sz w:val="16"/>
          <w:szCs w:val="16"/>
        </w:rPr>
      </w:pPr>
      <w:r w:rsidRPr="00FD690C">
        <w:rPr>
          <w:rStyle w:val="FootnoteReference"/>
          <w:rFonts w:ascii="Arial" w:hAnsi="Arial" w:cs="Arial"/>
          <w:sz w:val="16"/>
          <w:szCs w:val="16"/>
        </w:rPr>
        <w:footnoteRef/>
      </w:r>
      <w:r w:rsidRPr="00FD690C">
        <w:rPr>
          <w:rFonts w:ascii="Arial" w:hAnsi="Arial" w:cs="Arial"/>
          <w:sz w:val="16"/>
          <w:szCs w:val="16"/>
        </w:rPr>
        <w:t xml:space="preserve"> In 2013 the survey became UK-wide rather than just England</w:t>
      </w:r>
      <w:r>
        <w:rPr>
          <w:rFonts w:ascii="Arial" w:hAnsi="Arial" w:cs="Arial"/>
          <w:sz w:val="16"/>
          <w:szCs w:val="16"/>
        </w:rPr>
        <w:t xml:space="preserve"> and was renamed the UK Employer Skills survey</w:t>
      </w:r>
      <w:r w:rsidRPr="00FD690C">
        <w:rPr>
          <w:rFonts w:ascii="Arial" w:hAnsi="Arial" w:cs="Arial"/>
          <w:sz w:val="16"/>
          <w:szCs w:val="16"/>
        </w:rPr>
        <w:t xml:space="preserve">. </w:t>
      </w:r>
    </w:p>
  </w:footnote>
  <w:footnote w:id="35">
    <w:p w:rsidR="000A3998" w:rsidRPr="00570B2F" w:rsidRDefault="000A3998" w:rsidP="002A2831">
      <w:pPr>
        <w:pStyle w:val="FootnoteText"/>
        <w:rPr>
          <w:rFonts w:ascii="Arial" w:hAnsi="Arial" w:cs="Arial"/>
          <w:sz w:val="16"/>
          <w:szCs w:val="16"/>
        </w:rPr>
      </w:pPr>
      <w:r w:rsidRPr="00570B2F">
        <w:rPr>
          <w:rStyle w:val="FootnoteReference"/>
          <w:rFonts w:ascii="Arial" w:hAnsi="Arial" w:cs="Arial"/>
          <w:sz w:val="16"/>
          <w:szCs w:val="16"/>
        </w:rPr>
        <w:footnoteRef/>
      </w:r>
      <w:r w:rsidRPr="00570B2F">
        <w:rPr>
          <w:rFonts w:ascii="Arial" w:hAnsi="Arial" w:cs="Arial"/>
          <w:sz w:val="16"/>
          <w:szCs w:val="16"/>
        </w:rPr>
        <w:t xml:space="preserve"> Employer Skills Survey, 2012, People 1</w:t>
      </w:r>
      <w:r w:rsidRPr="00570B2F">
        <w:rPr>
          <w:rFonts w:ascii="Arial" w:hAnsi="Arial" w:cs="Arial"/>
          <w:sz w:val="16"/>
          <w:szCs w:val="16"/>
          <w:vertAlign w:val="superscript"/>
        </w:rPr>
        <w:t>st</w:t>
      </w:r>
      <w:r w:rsidRPr="00570B2F">
        <w:rPr>
          <w:rFonts w:ascii="Arial" w:hAnsi="Arial" w:cs="Arial"/>
          <w:sz w:val="16"/>
          <w:szCs w:val="16"/>
        </w:rPr>
        <w:t xml:space="preserve"> </w:t>
      </w:r>
    </w:p>
  </w:footnote>
  <w:footnote w:id="36">
    <w:p w:rsidR="000A3998" w:rsidRPr="00570B2F" w:rsidRDefault="000A3998" w:rsidP="002A2831">
      <w:pPr>
        <w:pStyle w:val="FootnoteText"/>
        <w:rPr>
          <w:rFonts w:ascii="Arial" w:hAnsi="Arial" w:cs="Arial"/>
          <w:sz w:val="16"/>
          <w:szCs w:val="16"/>
        </w:rPr>
      </w:pPr>
      <w:r w:rsidRPr="00570B2F">
        <w:rPr>
          <w:rStyle w:val="FootnoteReference"/>
          <w:rFonts w:ascii="Arial" w:hAnsi="Arial" w:cs="Arial"/>
          <w:sz w:val="16"/>
          <w:szCs w:val="16"/>
        </w:rPr>
        <w:footnoteRef/>
      </w:r>
      <w:r w:rsidRPr="00570B2F">
        <w:rPr>
          <w:rFonts w:ascii="Arial" w:hAnsi="Arial" w:cs="Arial"/>
          <w:sz w:val="16"/>
          <w:szCs w:val="16"/>
        </w:rPr>
        <w:t xml:space="preserve"> Hospitality and Tourism – Creating a sustainable workforce, People 1</w:t>
      </w:r>
      <w:r w:rsidRPr="00570B2F">
        <w:rPr>
          <w:rFonts w:ascii="Arial" w:hAnsi="Arial" w:cs="Arial"/>
          <w:sz w:val="16"/>
          <w:szCs w:val="16"/>
          <w:vertAlign w:val="superscript"/>
        </w:rPr>
        <w:t>st</w:t>
      </w:r>
      <w:r w:rsidRPr="00570B2F">
        <w:rPr>
          <w:rFonts w:ascii="Arial" w:hAnsi="Arial" w:cs="Arial"/>
          <w:sz w:val="16"/>
          <w:szCs w:val="16"/>
        </w:rPr>
        <w:t xml:space="preserve"> </w:t>
      </w:r>
    </w:p>
  </w:footnote>
  <w:footnote w:id="37">
    <w:p w:rsidR="000A3998" w:rsidRDefault="000A3998">
      <w:pPr>
        <w:pStyle w:val="FootnoteText"/>
      </w:pPr>
      <w:r w:rsidRPr="00570B2F">
        <w:rPr>
          <w:rStyle w:val="FootnoteReference"/>
          <w:rFonts w:ascii="Arial" w:hAnsi="Arial" w:cs="Arial"/>
          <w:sz w:val="16"/>
          <w:szCs w:val="16"/>
        </w:rPr>
        <w:footnoteRef/>
      </w:r>
      <w:r w:rsidRPr="00570B2F">
        <w:rPr>
          <w:rFonts w:ascii="Arial" w:hAnsi="Arial" w:cs="Arial"/>
          <w:sz w:val="16"/>
          <w:szCs w:val="16"/>
        </w:rPr>
        <w:t xml:space="preserve"> Defined here as ‘food and drink services’ and ‘accommodation’</w:t>
      </w:r>
    </w:p>
  </w:footnote>
  <w:footnote w:id="38">
    <w:p w:rsidR="000A3998" w:rsidRPr="00AF4AE3" w:rsidRDefault="000A3998">
      <w:pPr>
        <w:pStyle w:val="FootnoteText"/>
        <w:rPr>
          <w:rFonts w:ascii="Arial" w:hAnsi="Arial" w:cs="Arial"/>
          <w:sz w:val="16"/>
          <w:szCs w:val="16"/>
        </w:rPr>
      </w:pPr>
      <w:r w:rsidRPr="00AF4AE3">
        <w:rPr>
          <w:rStyle w:val="FootnoteReference"/>
          <w:rFonts w:ascii="Arial" w:hAnsi="Arial" w:cs="Arial"/>
          <w:sz w:val="16"/>
          <w:szCs w:val="16"/>
        </w:rPr>
        <w:footnoteRef/>
      </w:r>
      <w:r w:rsidRPr="00AF4AE3">
        <w:rPr>
          <w:rFonts w:ascii="Arial" w:hAnsi="Arial" w:cs="Arial"/>
          <w:sz w:val="16"/>
          <w:szCs w:val="16"/>
        </w:rPr>
        <w:t xml:space="preserve"> E.g. Riley, M (2004) ‘Labour mobility and market structure’ and Stalker, P (1994) ‘The work of strangers’. </w:t>
      </w:r>
    </w:p>
  </w:footnote>
  <w:footnote w:id="39">
    <w:p w:rsidR="000A3998" w:rsidRPr="0059679C" w:rsidRDefault="000A3998" w:rsidP="00CA7840">
      <w:pPr>
        <w:pStyle w:val="FootnoteText"/>
        <w:rPr>
          <w:rFonts w:ascii="Arial" w:hAnsi="Arial" w:cs="Arial"/>
          <w:sz w:val="16"/>
          <w:szCs w:val="16"/>
        </w:rPr>
      </w:pPr>
      <w:r w:rsidRPr="00020B47">
        <w:rPr>
          <w:rStyle w:val="FootnoteReference"/>
          <w:rFonts w:ascii="Arial" w:hAnsi="Arial" w:cs="Arial"/>
          <w:sz w:val="16"/>
          <w:szCs w:val="16"/>
        </w:rPr>
        <w:footnoteRef/>
      </w:r>
      <w:r w:rsidRPr="00020B47">
        <w:rPr>
          <w:rFonts w:ascii="Arial" w:hAnsi="Arial" w:cs="Arial"/>
          <w:sz w:val="16"/>
          <w:szCs w:val="16"/>
        </w:rPr>
        <w:t xml:space="preserve"> </w:t>
      </w:r>
      <w:hyperlink r:id="rId3" w:history="1">
        <w:r w:rsidRPr="00020B47">
          <w:rPr>
            <w:rStyle w:val="Hyperlink"/>
            <w:rFonts w:ascii="Arial" w:hAnsi="Arial" w:cs="Arial"/>
            <w:sz w:val="16"/>
            <w:szCs w:val="16"/>
          </w:rPr>
          <w:t>https://www.aat.org.uk/news/article/parents-and-apprenticeships</w:t>
        </w:r>
      </w:hyperlink>
      <w:r w:rsidRPr="00020B47">
        <w:rPr>
          <w:rFonts w:ascii="Arial" w:hAnsi="Arial" w:cs="Arial"/>
          <w:sz w:val="16"/>
          <w:szCs w:val="16"/>
        </w:rPr>
        <w:t xml:space="preserve"> </w:t>
      </w:r>
    </w:p>
  </w:footnote>
  <w:footnote w:id="40">
    <w:p w:rsidR="000A3998" w:rsidRPr="0059679C" w:rsidRDefault="000A3998" w:rsidP="00CA7840">
      <w:pPr>
        <w:pStyle w:val="FootnoteText"/>
        <w:rPr>
          <w:rFonts w:ascii="Arial" w:hAnsi="Arial" w:cs="Arial"/>
          <w:sz w:val="16"/>
          <w:szCs w:val="16"/>
        </w:rPr>
      </w:pPr>
      <w:r w:rsidRPr="0059679C">
        <w:rPr>
          <w:rStyle w:val="FootnoteReference"/>
          <w:rFonts w:ascii="Arial" w:hAnsi="Arial" w:cs="Arial"/>
          <w:sz w:val="16"/>
          <w:szCs w:val="16"/>
        </w:rPr>
        <w:footnoteRef/>
      </w:r>
      <w:r w:rsidRPr="0059679C">
        <w:rPr>
          <w:rFonts w:ascii="Arial" w:hAnsi="Arial" w:cs="Arial"/>
          <w:sz w:val="16"/>
          <w:szCs w:val="16"/>
        </w:rPr>
        <w:t xml:space="preserve"> </w:t>
      </w:r>
      <w:hyperlink r:id="rId4" w:anchor=".VNSPApWzXX4" w:history="1">
        <w:r w:rsidRPr="0059679C">
          <w:rPr>
            <w:rStyle w:val="Hyperlink"/>
            <w:rFonts w:ascii="Arial" w:hAnsi="Arial" w:cs="Arial"/>
            <w:sz w:val="16"/>
            <w:szCs w:val="16"/>
          </w:rPr>
          <w:t>http://www.cityandguilds.com/news/March-2014/apprenticeships-not-just-for-boys#.VNSPApWzXX4</w:t>
        </w:r>
      </w:hyperlink>
      <w:r w:rsidRPr="0059679C">
        <w:rPr>
          <w:rFonts w:ascii="Arial" w:hAnsi="Arial" w:cs="Arial"/>
          <w:sz w:val="16"/>
          <w:szCs w:val="16"/>
        </w:rPr>
        <w:t xml:space="preserve"> </w:t>
      </w:r>
    </w:p>
  </w:footnote>
  <w:footnote w:id="41">
    <w:p w:rsidR="000A3998" w:rsidRPr="00020B47" w:rsidRDefault="000A3998" w:rsidP="00CA7840">
      <w:pPr>
        <w:pStyle w:val="FootnoteText"/>
        <w:rPr>
          <w:rFonts w:ascii="Arial" w:hAnsi="Arial" w:cs="Arial"/>
          <w:sz w:val="16"/>
          <w:szCs w:val="16"/>
        </w:rPr>
      </w:pPr>
      <w:r w:rsidRPr="0059679C">
        <w:rPr>
          <w:rStyle w:val="FootnoteReference"/>
          <w:rFonts w:ascii="Arial" w:hAnsi="Arial" w:cs="Arial"/>
          <w:sz w:val="16"/>
          <w:szCs w:val="16"/>
        </w:rPr>
        <w:footnoteRef/>
      </w:r>
      <w:r w:rsidRPr="0059679C">
        <w:rPr>
          <w:rFonts w:ascii="Arial" w:hAnsi="Arial" w:cs="Arial"/>
          <w:sz w:val="16"/>
          <w:szCs w:val="16"/>
        </w:rPr>
        <w:t xml:space="preserve">  The Sutton Trust, Higher Apprenticeships Better for Jobs than University Degrees Say Public, press release, 8 July 2014 </w:t>
      </w:r>
    </w:p>
  </w:footnote>
  <w:footnote w:id="42">
    <w:p w:rsidR="000A3998" w:rsidRPr="00ED6CA2" w:rsidRDefault="000A3998" w:rsidP="00C42C85">
      <w:pPr>
        <w:pStyle w:val="FootnoteText"/>
        <w:rPr>
          <w:rFonts w:ascii="Arial" w:hAnsi="Arial" w:cs="Arial"/>
          <w:sz w:val="16"/>
          <w:szCs w:val="16"/>
        </w:rPr>
      </w:pPr>
      <w:r w:rsidRPr="00ED6CA2">
        <w:rPr>
          <w:rStyle w:val="FootnoteReference"/>
          <w:rFonts w:ascii="Arial" w:hAnsi="Arial" w:cs="Arial"/>
          <w:sz w:val="16"/>
          <w:szCs w:val="16"/>
        </w:rPr>
        <w:footnoteRef/>
      </w:r>
      <w:r w:rsidRPr="00ED6CA2">
        <w:rPr>
          <w:rFonts w:ascii="Arial" w:hAnsi="Arial" w:cs="Arial"/>
          <w:sz w:val="16"/>
          <w:szCs w:val="16"/>
        </w:rPr>
        <w:t xml:space="preserve"> Overcoming the Soft Skills Challenge, People 1</w:t>
      </w:r>
      <w:r w:rsidRPr="00ED6CA2">
        <w:rPr>
          <w:rFonts w:ascii="Arial" w:hAnsi="Arial" w:cs="Arial"/>
          <w:sz w:val="16"/>
          <w:szCs w:val="16"/>
          <w:vertAlign w:val="superscript"/>
        </w:rPr>
        <w:t>st</w:t>
      </w:r>
      <w:r w:rsidRPr="00ED6CA2">
        <w:rPr>
          <w:rFonts w:ascii="Arial" w:hAnsi="Arial" w:cs="Arial"/>
          <w:sz w:val="16"/>
          <w:szCs w:val="16"/>
        </w:rPr>
        <w:t xml:space="preserve">, May 2015 </w:t>
      </w:r>
    </w:p>
  </w:footnote>
  <w:footnote w:id="43">
    <w:p w:rsidR="000A3998" w:rsidRPr="0060265F" w:rsidRDefault="000A3998" w:rsidP="00C42C85">
      <w:pPr>
        <w:pStyle w:val="FootnoteText"/>
        <w:rPr>
          <w:rFonts w:ascii="Arial" w:hAnsi="Arial" w:cs="Arial"/>
          <w:sz w:val="16"/>
          <w:szCs w:val="16"/>
        </w:rPr>
      </w:pPr>
      <w:r w:rsidRPr="0060265F">
        <w:rPr>
          <w:rStyle w:val="FootnoteReference"/>
          <w:rFonts w:ascii="Arial" w:hAnsi="Arial" w:cs="Arial"/>
          <w:sz w:val="16"/>
          <w:szCs w:val="16"/>
        </w:rPr>
        <w:footnoteRef/>
      </w:r>
      <w:r w:rsidRPr="0060265F">
        <w:rPr>
          <w:rFonts w:ascii="Arial" w:hAnsi="Arial" w:cs="Arial"/>
          <w:sz w:val="16"/>
          <w:szCs w:val="16"/>
        </w:rPr>
        <w:t xml:space="preserve"> Labour Force Survey 2014, ONS</w:t>
      </w:r>
    </w:p>
  </w:footnote>
  <w:footnote w:id="44">
    <w:p w:rsidR="000A3998" w:rsidRPr="00FF6631" w:rsidRDefault="000A3998">
      <w:pPr>
        <w:pStyle w:val="FootnoteText"/>
        <w:rPr>
          <w:rFonts w:ascii="Arial" w:hAnsi="Arial" w:cs="Arial"/>
          <w:sz w:val="16"/>
          <w:szCs w:val="16"/>
        </w:rPr>
      </w:pPr>
      <w:r w:rsidRPr="00FF6631">
        <w:rPr>
          <w:rStyle w:val="FootnoteReference"/>
          <w:rFonts w:ascii="Arial" w:hAnsi="Arial" w:cs="Arial"/>
          <w:sz w:val="16"/>
          <w:szCs w:val="16"/>
        </w:rPr>
        <w:footnoteRef/>
      </w:r>
      <w:r w:rsidRPr="00FF6631">
        <w:rPr>
          <w:rFonts w:ascii="Arial" w:hAnsi="Arial" w:cs="Arial"/>
          <w:sz w:val="16"/>
          <w:szCs w:val="16"/>
        </w:rPr>
        <w:t xml:space="preserve"> Figures in this chapter that are taken from the UK Employer Skills Survey are for hotels and restaurants only.</w:t>
      </w:r>
    </w:p>
  </w:footnote>
  <w:footnote w:id="45">
    <w:p w:rsidR="000A3998" w:rsidRPr="0053717A" w:rsidRDefault="000A3998">
      <w:pPr>
        <w:pStyle w:val="FootnoteText"/>
        <w:rPr>
          <w:rFonts w:ascii="Arial" w:hAnsi="Arial" w:cs="Arial"/>
          <w:sz w:val="16"/>
          <w:szCs w:val="16"/>
        </w:rPr>
      </w:pPr>
      <w:r w:rsidRPr="0053717A">
        <w:rPr>
          <w:rStyle w:val="FootnoteReference"/>
          <w:rFonts w:ascii="Arial" w:hAnsi="Arial" w:cs="Arial"/>
          <w:sz w:val="16"/>
          <w:szCs w:val="16"/>
        </w:rPr>
        <w:footnoteRef/>
      </w:r>
      <w:r w:rsidRPr="0053717A">
        <w:rPr>
          <w:rFonts w:ascii="Arial" w:hAnsi="Arial" w:cs="Arial"/>
          <w:sz w:val="16"/>
          <w:szCs w:val="16"/>
        </w:rPr>
        <w:t xml:space="preserve"> </w:t>
      </w:r>
      <w:r>
        <w:rPr>
          <w:rFonts w:ascii="Arial" w:hAnsi="Arial" w:cs="Arial"/>
          <w:sz w:val="16"/>
          <w:szCs w:val="16"/>
        </w:rPr>
        <w:t>Hospitality, tourism and sport: Sector Skills Assessment (2012), UKCES</w:t>
      </w:r>
    </w:p>
  </w:footnote>
  <w:footnote w:id="46">
    <w:p w:rsidR="000A3998" w:rsidRPr="00FB238F" w:rsidRDefault="000A3998" w:rsidP="005A10E5">
      <w:pPr>
        <w:pStyle w:val="FootnoteText"/>
        <w:rPr>
          <w:rFonts w:ascii="Arial" w:hAnsi="Arial" w:cs="Arial"/>
          <w:sz w:val="16"/>
          <w:szCs w:val="16"/>
        </w:rPr>
      </w:pPr>
      <w:r w:rsidRPr="00FB238F">
        <w:rPr>
          <w:rStyle w:val="FootnoteReference"/>
          <w:rFonts w:ascii="Arial" w:hAnsi="Arial" w:cs="Arial"/>
          <w:sz w:val="16"/>
          <w:szCs w:val="16"/>
        </w:rPr>
        <w:footnoteRef/>
      </w:r>
      <w:r w:rsidRPr="00FB238F">
        <w:rPr>
          <w:rFonts w:ascii="Arial" w:hAnsi="Arial" w:cs="Arial"/>
          <w:sz w:val="16"/>
          <w:szCs w:val="16"/>
        </w:rPr>
        <w:t xml:space="preserve"> Hospitality and Tourism: We overlook our management and leadership needs at our peril, People 1</w:t>
      </w:r>
      <w:r w:rsidRPr="00FB238F">
        <w:rPr>
          <w:rFonts w:ascii="Arial" w:hAnsi="Arial" w:cs="Arial"/>
          <w:sz w:val="16"/>
          <w:szCs w:val="16"/>
          <w:vertAlign w:val="superscript"/>
        </w:rPr>
        <w:t>st</w:t>
      </w:r>
      <w:r w:rsidRPr="00FB238F">
        <w:rPr>
          <w:rFonts w:ascii="Arial" w:hAnsi="Arial" w:cs="Arial"/>
          <w:sz w:val="16"/>
          <w:szCs w:val="16"/>
        </w:rPr>
        <w:t xml:space="preserve"> </w:t>
      </w:r>
    </w:p>
  </w:footnote>
  <w:footnote w:id="47">
    <w:p w:rsidR="000A3998" w:rsidRPr="000B68A4" w:rsidRDefault="000A3998" w:rsidP="008B08F7">
      <w:pPr>
        <w:pStyle w:val="FootnoteText"/>
        <w:rPr>
          <w:rFonts w:ascii="Arial" w:hAnsi="Arial" w:cs="Arial"/>
          <w:sz w:val="16"/>
          <w:szCs w:val="16"/>
        </w:rPr>
      </w:pPr>
      <w:r w:rsidRPr="000B68A4">
        <w:rPr>
          <w:rStyle w:val="FootnoteReference"/>
          <w:rFonts w:ascii="Arial" w:hAnsi="Arial" w:cs="Arial"/>
          <w:sz w:val="16"/>
          <w:szCs w:val="16"/>
        </w:rPr>
        <w:footnoteRef/>
      </w:r>
      <w:r w:rsidRPr="000B68A4">
        <w:rPr>
          <w:rFonts w:ascii="Arial" w:hAnsi="Arial" w:cs="Arial"/>
          <w:sz w:val="16"/>
          <w:szCs w:val="16"/>
        </w:rPr>
        <w:t xml:space="preserve"> Travel and Tourism Survey 2015, MHA</w:t>
      </w:r>
    </w:p>
  </w:footnote>
  <w:footnote w:id="48">
    <w:p w:rsidR="000A3998" w:rsidRDefault="000A3998" w:rsidP="005A10E5">
      <w:pPr>
        <w:pStyle w:val="FootnoteText"/>
      </w:pPr>
      <w:r w:rsidRPr="001F61A3">
        <w:rPr>
          <w:rStyle w:val="FootnoteReference"/>
          <w:rFonts w:ascii="Arial" w:hAnsi="Arial" w:cs="Arial"/>
          <w:sz w:val="16"/>
          <w:szCs w:val="16"/>
        </w:rPr>
        <w:footnoteRef/>
      </w:r>
      <w:r w:rsidRPr="001F61A3">
        <w:rPr>
          <w:rFonts w:ascii="Arial" w:hAnsi="Arial" w:cs="Arial"/>
          <w:sz w:val="16"/>
          <w:szCs w:val="16"/>
        </w:rPr>
        <w:t xml:space="preserve"> Employer Skills Survey 2013, UKCES</w:t>
      </w:r>
    </w:p>
  </w:footnote>
  <w:footnote w:id="49">
    <w:p w:rsidR="000A3998" w:rsidRPr="000B3FEC" w:rsidRDefault="000A3998">
      <w:pPr>
        <w:pStyle w:val="FootnoteText"/>
        <w:rPr>
          <w:rFonts w:ascii="Arial" w:hAnsi="Arial" w:cs="Arial"/>
          <w:sz w:val="16"/>
          <w:szCs w:val="16"/>
        </w:rPr>
      </w:pPr>
      <w:r w:rsidRPr="000B3FEC">
        <w:rPr>
          <w:rStyle w:val="FootnoteReference"/>
          <w:rFonts w:ascii="Arial" w:hAnsi="Arial" w:cs="Arial"/>
          <w:sz w:val="16"/>
          <w:szCs w:val="16"/>
        </w:rPr>
        <w:footnoteRef/>
      </w:r>
      <w:r w:rsidRPr="000B3FEC">
        <w:rPr>
          <w:rFonts w:ascii="Arial" w:hAnsi="Arial" w:cs="Arial"/>
          <w:sz w:val="16"/>
          <w:szCs w:val="16"/>
        </w:rPr>
        <w:t xml:space="preserve"> On the Data Cube, all ESF funded provision is recorded as ‘education and training’.  Workplace learning, in the context of the Cube, is only recorded as such where it is funded through the Adult Skills Budget.  As such, workplace learning numbers, when considered in isolation, appear very low. For that reason they have been incorporated under the ‘education and skills’ umbrella heading. </w:t>
      </w:r>
    </w:p>
  </w:footnote>
  <w:footnote w:id="50">
    <w:p w:rsidR="000A3998" w:rsidRPr="008D4796" w:rsidRDefault="000A3998">
      <w:pPr>
        <w:pStyle w:val="FootnoteText"/>
        <w:rPr>
          <w:rFonts w:ascii="Arial" w:hAnsi="Arial" w:cs="Arial"/>
          <w:sz w:val="16"/>
          <w:szCs w:val="16"/>
        </w:rPr>
      </w:pPr>
      <w:r w:rsidRPr="008D4796">
        <w:rPr>
          <w:rStyle w:val="FootnoteReference"/>
          <w:rFonts w:ascii="Arial" w:hAnsi="Arial" w:cs="Arial"/>
          <w:sz w:val="16"/>
          <w:szCs w:val="16"/>
        </w:rPr>
        <w:footnoteRef/>
      </w:r>
      <w:r w:rsidRPr="008D4796">
        <w:rPr>
          <w:rFonts w:ascii="Arial" w:hAnsi="Arial" w:cs="Arial"/>
          <w:sz w:val="16"/>
          <w:szCs w:val="16"/>
        </w:rPr>
        <w:t xml:space="preserve"> Note that the way in which the success rates are calculated dictates that they may include provision that has been delivered outside the Lancashire LEP area. </w:t>
      </w:r>
      <w:r>
        <w:rPr>
          <w:rFonts w:ascii="Arial" w:hAnsi="Arial" w:cs="Arial"/>
          <w:sz w:val="16"/>
          <w:szCs w:val="16"/>
        </w:rPr>
        <w:t xml:space="preserve">Note also that Lancashire County Council does not appear in the table because the success rate statistics do not include community learning. </w:t>
      </w:r>
    </w:p>
  </w:footnote>
  <w:footnote w:id="51">
    <w:p w:rsidR="000A3998" w:rsidRPr="00326502" w:rsidRDefault="000A3998">
      <w:pPr>
        <w:pStyle w:val="FootnoteText"/>
        <w:rPr>
          <w:rFonts w:ascii="Arial" w:hAnsi="Arial" w:cs="Arial"/>
          <w:sz w:val="16"/>
          <w:szCs w:val="16"/>
        </w:rPr>
      </w:pPr>
      <w:r w:rsidRPr="00326502">
        <w:rPr>
          <w:rStyle w:val="FootnoteReference"/>
          <w:rFonts w:ascii="Arial" w:hAnsi="Arial" w:cs="Arial"/>
          <w:sz w:val="16"/>
          <w:szCs w:val="16"/>
        </w:rPr>
        <w:footnoteRef/>
      </w:r>
      <w:r w:rsidRPr="00326502">
        <w:rPr>
          <w:rFonts w:ascii="Arial" w:hAnsi="Arial" w:cs="Arial"/>
          <w:sz w:val="16"/>
          <w:szCs w:val="16"/>
        </w:rPr>
        <w:t xml:space="preserve"> The Match Factor: Good Practice in Apprenticeship Recruitment (CIPD, 2014)</w:t>
      </w:r>
    </w:p>
  </w:footnote>
  <w:footnote w:id="52">
    <w:p w:rsidR="000A3998" w:rsidRPr="002D20BE" w:rsidRDefault="000A3998">
      <w:pPr>
        <w:pStyle w:val="FootnoteText"/>
        <w:rPr>
          <w:rFonts w:ascii="Arial" w:hAnsi="Arial" w:cs="Arial"/>
          <w:sz w:val="16"/>
          <w:szCs w:val="16"/>
        </w:rPr>
      </w:pPr>
      <w:r w:rsidRPr="002D20BE">
        <w:rPr>
          <w:rStyle w:val="FootnoteReference"/>
          <w:rFonts w:ascii="Arial" w:hAnsi="Arial" w:cs="Arial"/>
          <w:sz w:val="16"/>
          <w:szCs w:val="16"/>
        </w:rPr>
        <w:footnoteRef/>
      </w:r>
      <w:r w:rsidRPr="002D20BE">
        <w:rPr>
          <w:rFonts w:ascii="Arial" w:hAnsi="Arial" w:cs="Arial"/>
          <w:sz w:val="16"/>
          <w:szCs w:val="16"/>
        </w:rPr>
        <w:t xml:space="preserve"> </w:t>
      </w:r>
      <w:r>
        <w:rPr>
          <w:rFonts w:ascii="Arial" w:hAnsi="Arial" w:cs="Arial"/>
          <w:sz w:val="16"/>
          <w:szCs w:val="16"/>
        </w:rPr>
        <w:t xml:space="preserve">As with the education and training data, </w:t>
      </w:r>
      <w:r w:rsidRPr="002D20BE">
        <w:rPr>
          <w:rFonts w:ascii="Arial" w:hAnsi="Arial" w:cs="Arial"/>
          <w:sz w:val="16"/>
          <w:szCs w:val="16"/>
        </w:rPr>
        <w:t xml:space="preserve">the way in which the success rates are calculated dictates that they may include provision that has been delivered outside the Lancashire LEP area. </w:t>
      </w:r>
      <w:r>
        <w:rPr>
          <w:rFonts w:ascii="Arial" w:hAnsi="Arial" w:cs="Arial"/>
          <w:sz w:val="16"/>
          <w:szCs w:val="16"/>
        </w:rPr>
        <w:t xml:space="preserve"> </w:t>
      </w:r>
    </w:p>
  </w:footnote>
  <w:footnote w:id="53">
    <w:p w:rsidR="000A3998" w:rsidRPr="007926B9" w:rsidRDefault="000A3998">
      <w:pPr>
        <w:pStyle w:val="FootnoteText"/>
        <w:rPr>
          <w:rFonts w:ascii="Arial" w:hAnsi="Arial" w:cs="Arial"/>
          <w:sz w:val="16"/>
          <w:szCs w:val="16"/>
        </w:rPr>
      </w:pPr>
      <w:r w:rsidRPr="007926B9">
        <w:rPr>
          <w:rStyle w:val="FootnoteReference"/>
          <w:rFonts w:ascii="Arial" w:hAnsi="Arial" w:cs="Arial"/>
          <w:sz w:val="16"/>
          <w:szCs w:val="16"/>
        </w:rPr>
        <w:footnoteRef/>
      </w:r>
      <w:r w:rsidRPr="007926B9">
        <w:rPr>
          <w:rFonts w:ascii="Arial" w:hAnsi="Arial" w:cs="Arial"/>
          <w:sz w:val="16"/>
          <w:szCs w:val="16"/>
        </w:rPr>
        <w:t xml:space="preserve"> Higher Education Statistics Agency</w:t>
      </w:r>
    </w:p>
  </w:footnote>
  <w:footnote w:id="54">
    <w:p w:rsidR="000A3998" w:rsidRPr="00FB702E" w:rsidRDefault="000A3998">
      <w:pPr>
        <w:pStyle w:val="FootnoteText"/>
        <w:rPr>
          <w:rFonts w:ascii="Arial" w:hAnsi="Arial" w:cs="Arial"/>
          <w:sz w:val="16"/>
          <w:szCs w:val="16"/>
        </w:rPr>
      </w:pPr>
      <w:r w:rsidRPr="00FB702E">
        <w:rPr>
          <w:rStyle w:val="FootnoteReference"/>
          <w:rFonts w:ascii="Arial" w:hAnsi="Arial" w:cs="Arial"/>
          <w:sz w:val="16"/>
          <w:szCs w:val="16"/>
        </w:rPr>
        <w:footnoteRef/>
      </w:r>
      <w:r w:rsidRPr="00FB702E">
        <w:rPr>
          <w:rFonts w:ascii="Arial" w:hAnsi="Arial" w:cs="Arial"/>
          <w:sz w:val="16"/>
          <w:szCs w:val="16"/>
        </w:rPr>
        <w:t xml:space="preserve"> </w:t>
      </w:r>
      <w:hyperlink r:id="rId5" w:history="1">
        <w:r w:rsidRPr="008A5A10">
          <w:rPr>
            <w:rStyle w:val="Hyperlink"/>
            <w:rFonts w:ascii="Arial" w:hAnsi="Arial" w:cs="Arial"/>
            <w:sz w:val="16"/>
            <w:szCs w:val="16"/>
          </w:rPr>
          <w:t>http://www.hospitalityguild.co.uk/A-Career-in-Hospitality/Career-tools/Career-Map</w:t>
        </w:r>
      </w:hyperlink>
      <w:r>
        <w:rPr>
          <w:rFonts w:ascii="Arial" w:hAnsi="Arial" w:cs="Arial"/>
          <w:sz w:val="16"/>
          <w:szCs w:val="16"/>
        </w:rPr>
        <w:t xml:space="preserve">.  The Hospitality Guild also provides a broad array of other resources, the likes of which many employers and skills providers do not seem to be aware of but said, when consulted for this study, that they would welcome.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98" w:rsidRPr="00A9784D" w:rsidRDefault="000A3998" w:rsidP="00C87436">
    <w:pPr>
      <w:pStyle w:val="Header"/>
      <w:pBdr>
        <w:bottom w:val="single" w:sz="4" w:space="1" w:color="auto"/>
      </w:pBdr>
      <w:jc w:val="center"/>
      <w:rPr>
        <w:rFonts w:ascii="Arial" w:hAnsi="Arial" w:cs="Arial"/>
        <w:sz w:val="20"/>
        <w:szCs w:val="20"/>
      </w:rPr>
    </w:pPr>
    <w:r w:rsidRPr="00A9784D">
      <w:rPr>
        <w:rFonts w:ascii="Arial" w:hAnsi="Arial" w:cs="Arial"/>
        <w:sz w:val="20"/>
        <w:szCs w:val="20"/>
      </w:rPr>
      <w:t xml:space="preserve">Skills in Lancashire: </w:t>
    </w:r>
    <w:r>
      <w:rPr>
        <w:rFonts w:ascii="Arial" w:hAnsi="Arial" w:cs="Arial"/>
        <w:sz w:val="20"/>
        <w:szCs w:val="20"/>
      </w:rPr>
      <w:t xml:space="preserve">Visitor Economy Skills Action Plan </w:t>
    </w:r>
  </w:p>
  <w:p w:rsidR="000A3998" w:rsidRDefault="000A3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9451"/>
      <w:docPartObj>
        <w:docPartGallery w:val="Watermarks"/>
        <w:docPartUnique/>
      </w:docPartObj>
    </w:sdtPr>
    <w:sdtEndPr/>
    <w:sdtContent>
      <w:p w:rsidR="000A3998" w:rsidRDefault="0060214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6F6"/>
    <w:multiLevelType w:val="hybridMultilevel"/>
    <w:tmpl w:val="FC24BE80"/>
    <w:lvl w:ilvl="0" w:tplc="D1D0D20E">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0D64FF6"/>
    <w:multiLevelType w:val="hybridMultilevel"/>
    <w:tmpl w:val="0284F76A"/>
    <w:lvl w:ilvl="0" w:tplc="730C0E1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27EF2"/>
    <w:multiLevelType w:val="multilevel"/>
    <w:tmpl w:val="1836297E"/>
    <w:lvl w:ilvl="0">
      <w:start w:val="1"/>
      <w:numFmt w:val="decimal"/>
      <w:lvlText w:val="%1"/>
      <w:lvlJc w:val="left"/>
      <w:pPr>
        <w:tabs>
          <w:tab w:val="num" w:pos="1112"/>
        </w:tabs>
        <w:ind w:left="1112" w:hanging="680"/>
      </w:pPr>
      <w:rPr>
        <w:rFonts w:cs="Times New Roman" w:hint="default"/>
      </w:rPr>
    </w:lvl>
    <w:lvl w:ilvl="1">
      <w:start w:val="1"/>
      <w:numFmt w:val="decimal"/>
      <w:lvlText w:val="%1.%2"/>
      <w:lvlJc w:val="left"/>
      <w:pPr>
        <w:tabs>
          <w:tab w:val="num" w:pos="2666"/>
        </w:tabs>
        <w:ind w:left="2666" w:hanging="680"/>
      </w:pPr>
      <w:rPr>
        <w:rFonts w:ascii="Arial" w:hAnsi="Arial" w:cs="Arial" w:hint="default"/>
        <w:b w:val="0"/>
        <w:i w:val="0"/>
        <w:color w:val="auto"/>
        <w:sz w:val="18"/>
        <w:szCs w:val="18"/>
      </w:rPr>
    </w:lvl>
    <w:lvl w:ilvl="2">
      <w:start w:val="1"/>
      <w:numFmt w:val="decimal"/>
      <w:lvlText w:val="%1.%2.%3"/>
      <w:lvlJc w:val="left"/>
      <w:pPr>
        <w:tabs>
          <w:tab w:val="num" w:pos="1226"/>
        </w:tabs>
        <w:ind w:left="1226" w:hanging="397"/>
      </w:pPr>
      <w:rPr>
        <w:rFonts w:cs="Times New Roman" w:hint="default"/>
      </w:rPr>
    </w:lvl>
    <w:lvl w:ilvl="3">
      <w:start w:val="1"/>
      <w:numFmt w:val="decimal"/>
      <w:lvlText w:val="%1.%2.%3.%4"/>
      <w:lvlJc w:val="left"/>
      <w:pPr>
        <w:tabs>
          <w:tab w:val="num" w:pos="2656"/>
        </w:tabs>
        <w:ind w:left="2656" w:hanging="864"/>
      </w:pPr>
      <w:rPr>
        <w:rFonts w:cs="Times New Roman" w:hint="default"/>
      </w:rPr>
    </w:lvl>
    <w:lvl w:ilvl="4">
      <w:start w:val="1"/>
      <w:numFmt w:val="decimal"/>
      <w:lvlText w:val="%1.%2.%3.%4.%5"/>
      <w:lvlJc w:val="left"/>
      <w:pPr>
        <w:tabs>
          <w:tab w:val="num" w:pos="2800"/>
        </w:tabs>
        <w:ind w:left="2800" w:hanging="1008"/>
      </w:pPr>
      <w:rPr>
        <w:rFonts w:cs="Times New Roman" w:hint="default"/>
      </w:rPr>
    </w:lvl>
    <w:lvl w:ilvl="5">
      <w:start w:val="1"/>
      <w:numFmt w:val="decimal"/>
      <w:lvlText w:val="%1.%2.%3.%4.%5.%6"/>
      <w:lvlJc w:val="left"/>
      <w:pPr>
        <w:tabs>
          <w:tab w:val="num" w:pos="2944"/>
        </w:tabs>
        <w:ind w:left="2944" w:hanging="1152"/>
      </w:pPr>
      <w:rPr>
        <w:rFonts w:cs="Times New Roman" w:hint="default"/>
      </w:rPr>
    </w:lvl>
    <w:lvl w:ilvl="6">
      <w:start w:val="1"/>
      <w:numFmt w:val="decimal"/>
      <w:lvlText w:val="%1.%2.%3.%4.%5.%6.%7"/>
      <w:lvlJc w:val="left"/>
      <w:pPr>
        <w:tabs>
          <w:tab w:val="num" w:pos="3088"/>
        </w:tabs>
        <w:ind w:left="3088" w:hanging="1296"/>
      </w:pPr>
      <w:rPr>
        <w:rFonts w:cs="Times New Roman" w:hint="default"/>
      </w:rPr>
    </w:lvl>
    <w:lvl w:ilvl="7">
      <w:start w:val="1"/>
      <w:numFmt w:val="decimal"/>
      <w:lvlText w:val="%1.%2.%3.%4.%5.%6.%7.%8"/>
      <w:lvlJc w:val="left"/>
      <w:pPr>
        <w:tabs>
          <w:tab w:val="num" w:pos="3232"/>
        </w:tabs>
        <w:ind w:left="3232" w:hanging="1440"/>
      </w:pPr>
      <w:rPr>
        <w:rFonts w:cs="Times New Roman" w:hint="default"/>
      </w:rPr>
    </w:lvl>
    <w:lvl w:ilvl="8">
      <w:start w:val="1"/>
      <w:numFmt w:val="decimal"/>
      <w:lvlText w:val="%1.%2.%3.%4.%5.%6.%7.%8.%9"/>
      <w:lvlJc w:val="left"/>
      <w:pPr>
        <w:tabs>
          <w:tab w:val="num" w:pos="3376"/>
        </w:tabs>
        <w:ind w:left="3376" w:hanging="1584"/>
      </w:pPr>
      <w:rPr>
        <w:rFonts w:cs="Times New Roman" w:hint="default"/>
      </w:rPr>
    </w:lvl>
  </w:abstractNum>
  <w:abstractNum w:abstractNumId="3" w15:restartNumberingAfterBreak="0">
    <w:nsid w:val="03AE688B"/>
    <w:multiLevelType w:val="hybridMultilevel"/>
    <w:tmpl w:val="3A2E594C"/>
    <w:lvl w:ilvl="0" w:tplc="350C7A2C">
      <w:start w:val="1"/>
      <w:numFmt w:val="bullet"/>
      <w:lvlText w:val=""/>
      <w:lvlJc w:val="left"/>
      <w:pPr>
        <w:ind w:left="720" w:hanging="360"/>
      </w:pPr>
      <w:rPr>
        <w:rFonts w:ascii="Symbol" w:hAnsi="Symbol" w:hint="default"/>
        <w:color w:val="6C226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D3E94"/>
    <w:multiLevelType w:val="hybridMultilevel"/>
    <w:tmpl w:val="C52CA4FE"/>
    <w:lvl w:ilvl="0" w:tplc="C8EC8D7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0C2F1C7C"/>
    <w:multiLevelType w:val="hybridMultilevel"/>
    <w:tmpl w:val="C52CA4FE"/>
    <w:lvl w:ilvl="0" w:tplc="C8EC8D7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6A6111B"/>
    <w:multiLevelType w:val="hybridMultilevel"/>
    <w:tmpl w:val="D16CC542"/>
    <w:lvl w:ilvl="0" w:tplc="CF8E0ECC">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53B62"/>
    <w:multiLevelType w:val="hybridMultilevel"/>
    <w:tmpl w:val="349A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C16AA"/>
    <w:multiLevelType w:val="multilevel"/>
    <w:tmpl w:val="1836297E"/>
    <w:lvl w:ilvl="0">
      <w:start w:val="1"/>
      <w:numFmt w:val="decimal"/>
      <w:lvlText w:val="%1"/>
      <w:lvlJc w:val="left"/>
      <w:pPr>
        <w:tabs>
          <w:tab w:val="num" w:pos="1112"/>
        </w:tabs>
        <w:ind w:left="1112" w:hanging="680"/>
      </w:pPr>
      <w:rPr>
        <w:rFonts w:cs="Times New Roman" w:hint="default"/>
      </w:rPr>
    </w:lvl>
    <w:lvl w:ilvl="1">
      <w:start w:val="1"/>
      <w:numFmt w:val="decimal"/>
      <w:lvlText w:val="%1.%2"/>
      <w:lvlJc w:val="left"/>
      <w:pPr>
        <w:tabs>
          <w:tab w:val="num" w:pos="2666"/>
        </w:tabs>
        <w:ind w:left="2666" w:hanging="680"/>
      </w:pPr>
      <w:rPr>
        <w:rFonts w:ascii="Arial" w:hAnsi="Arial" w:cs="Arial" w:hint="default"/>
        <w:b w:val="0"/>
        <w:i w:val="0"/>
        <w:color w:val="auto"/>
        <w:sz w:val="18"/>
        <w:szCs w:val="18"/>
      </w:rPr>
    </w:lvl>
    <w:lvl w:ilvl="2">
      <w:start w:val="1"/>
      <w:numFmt w:val="decimal"/>
      <w:lvlText w:val="%1.%2.%3"/>
      <w:lvlJc w:val="left"/>
      <w:pPr>
        <w:tabs>
          <w:tab w:val="num" w:pos="1226"/>
        </w:tabs>
        <w:ind w:left="1226" w:hanging="397"/>
      </w:pPr>
      <w:rPr>
        <w:rFonts w:cs="Times New Roman" w:hint="default"/>
      </w:rPr>
    </w:lvl>
    <w:lvl w:ilvl="3">
      <w:start w:val="1"/>
      <w:numFmt w:val="decimal"/>
      <w:lvlText w:val="%1.%2.%3.%4"/>
      <w:lvlJc w:val="left"/>
      <w:pPr>
        <w:tabs>
          <w:tab w:val="num" w:pos="2656"/>
        </w:tabs>
        <w:ind w:left="2656" w:hanging="864"/>
      </w:pPr>
      <w:rPr>
        <w:rFonts w:cs="Times New Roman" w:hint="default"/>
      </w:rPr>
    </w:lvl>
    <w:lvl w:ilvl="4">
      <w:start w:val="1"/>
      <w:numFmt w:val="decimal"/>
      <w:lvlText w:val="%1.%2.%3.%4.%5"/>
      <w:lvlJc w:val="left"/>
      <w:pPr>
        <w:tabs>
          <w:tab w:val="num" w:pos="2800"/>
        </w:tabs>
        <w:ind w:left="2800" w:hanging="1008"/>
      </w:pPr>
      <w:rPr>
        <w:rFonts w:cs="Times New Roman" w:hint="default"/>
      </w:rPr>
    </w:lvl>
    <w:lvl w:ilvl="5">
      <w:start w:val="1"/>
      <w:numFmt w:val="decimal"/>
      <w:lvlText w:val="%1.%2.%3.%4.%5.%6"/>
      <w:lvlJc w:val="left"/>
      <w:pPr>
        <w:tabs>
          <w:tab w:val="num" w:pos="2944"/>
        </w:tabs>
        <w:ind w:left="2944" w:hanging="1152"/>
      </w:pPr>
      <w:rPr>
        <w:rFonts w:cs="Times New Roman" w:hint="default"/>
      </w:rPr>
    </w:lvl>
    <w:lvl w:ilvl="6">
      <w:start w:val="1"/>
      <w:numFmt w:val="decimal"/>
      <w:lvlText w:val="%1.%2.%3.%4.%5.%6.%7"/>
      <w:lvlJc w:val="left"/>
      <w:pPr>
        <w:tabs>
          <w:tab w:val="num" w:pos="3088"/>
        </w:tabs>
        <w:ind w:left="3088" w:hanging="1296"/>
      </w:pPr>
      <w:rPr>
        <w:rFonts w:cs="Times New Roman" w:hint="default"/>
      </w:rPr>
    </w:lvl>
    <w:lvl w:ilvl="7">
      <w:start w:val="1"/>
      <w:numFmt w:val="decimal"/>
      <w:lvlText w:val="%1.%2.%3.%4.%5.%6.%7.%8"/>
      <w:lvlJc w:val="left"/>
      <w:pPr>
        <w:tabs>
          <w:tab w:val="num" w:pos="3232"/>
        </w:tabs>
        <w:ind w:left="3232" w:hanging="1440"/>
      </w:pPr>
      <w:rPr>
        <w:rFonts w:cs="Times New Roman" w:hint="default"/>
      </w:rPr>
    </w:lvl>
    <w:lvl w:ilvl="8">
      <w:start w:val="1"/>
      <w:numFmt w:val="decimal"/>
      <w:lvlText w:val="%1.%2.%3.%4.%5.%6.%7.%8.%9"/>
      <w:lvlJc w:val="left"/>
      <w:pPr>
        <w:tabs>
          <w:tab w:val="num" w:pos="3376"/>
        </w:tabs>
        <w:ind w:left="3376" w:hanging="1584"/>
      </w:pPr>
      <w:rPr>
        <w:rFonts w:cs="Times New Roman" w:hint="default"/>
      </w:rPr>
    </w:lvl>
  </w:abstractNum>
  <w:abstractNum w:abstractNumId="9" w15:restartNumberingAfterBreak="0">
    <w:nsid w:val="2BE8178C"/>
    <w:multiLevelType w:val="hybridMultilevel"/>
    <w:tmpl w:val="C52CA4FE"/>
    <w:lvl w:ilvl="0" w:tplc="C8EC8D7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34A84EA2"/>
    <w:multiLevelType w:val="hybridMultilevel"/>
    <w:tmpl w:val="C8CE2136"/>
    <w:lvl w:ilvl="0" w:tplc="9CAE67F0">
      <w:start w:val="1"/>
      <w:numFmt w:val="lowerLetter"/>
      <w:lvlText w:val="%1)"/>
      <w:lvlJc w:val="left"/>
      <w:pPr>
        <w:tabs>
          <w:tab w:val="num" w:pos="720"/>
        </w:tabs>
        <w:ind w:left="720" w:hanging="360"/>
      </w:pPr>
    </w:lvl>
    <w:lvl w:ilvl="1" w:tplc="C7A6CA70" w:tentative="1">
      <w:start w:val="1"/>
      <w:numFmt w:val="lowerLetter"/>
      <w:lvlText w:val="%2)"/>
      <w:lvlJc w:val="left"/>
      <w:pPr>
        <w:tabs>
          <w:tab w:val="num" w:pos="1440"/>
        </w:tabs>
        <w:ind w:left="1440" w:hanging="360"/>
      </w:pPr>
    </w:lvl>
    <w:lvl w:ilvl="2" w:tplc="AEC41464" w:tentative="1">
      <w:start w:val="1"/>
      <w:numFmt w:val="lowerLetter"/>
      <w:lvlText w:val="%3)"/>
      <w:lvlJc w:val="left"/>
      <w:pPr>
        <w:tabs>
          <w:tab w:val="num" w:pos="2160"/>
        </w:tabs>
        <w:ind w:left="2160" w:hanging="360"/>
      </w:pPr>
    </w:lvl>
    <w:lvl w:ilvl="3" w:tplc="8E2A8BCA" w:tentative="1">
      <w:start w:val="1"/>
      <w:numFmt w:val="lowerLetter"/>
      <w:lvlText w:val="%4)"/>
      <w:lvlJc w:val="left"/>
      <w:pPr>
        <w:tabs>
          <w:tab w:val="num" w:pos="2880"/>
        </w:tabs>
        <w:ind w:left="2880" w:hanging="360"/>
      </w:pPr>
    </w:lvl>
    <w:lvl w:ilvl="4" w:tplc="2DE05FA8" w:tentative="1">
      <w:start w:val="1"/>
      <w:numFmt w:val="lowerLetter"/>
      <w:lvlText w:val="%5)"/>
      <w:lvlJc w:val="left"/>
      <w:pPr>
        <w:tabs>
          <w:tab w:val="num" w:pos="3600"/>
        </w:tabs>
        <w:ind w:left="3600" w:hanging="360"/>
      </w:pPr>
    </w:lvl>
    <w:lvl w:ilvl="5" w:tplc="13BC5024" w:tentative="1">
      <w:start w:val="1"/>
      <w:numFmt w:val="lowerLetter"/>
      <w:lvlText w:val="%6)"/>
      <w:lvlJc w:val="left"/>
      <w:pPr>
        <w:tabs>
          <w:tab w:val="num" w:pos="4320"/>
        </w:tabs>
        <w:ind w:left="4320" w:hanging="360"/>
      </w:pPr>
    </w:lvl>
    <w:lvl w:ilvl="6" w:tplc="D7660A18" w:tentative="1">
      <w:start w:val="1"/>
      <w:numFmt w:val="lowerLetter"/>
      <w:lvlText w:val="%7)"/>
      <w:lvlJc w:val="left"/>
      <w:pPr>
        <w:tabs>
          <w:tab w:val="num" w:pos="5040"/>
        </w:tabs>
        <w:ind w:left="5040" w:hanging="360"/>
      </w:pPr>
    </w:lvl>
    <w:lvl w:ilvl="7" w:tplc="943408A0" w:tentative="1">
      <w:start w:val="1"/>
      <w:numFmt w:val="lowerLetter"/>
      <w:lvlText w:val="%8)"/>
      <w:lvlJc w:val="left"/>
      <w:pPr>
        <w:tabs>
          <w:tab w:val="num" w:pos="5760"/>
        </w:tabs>
        <w:ind w:left="5760" w:hanging="360"/>
      </w:pPr>
    </w:lvl>
    <w:lvl w:ilvl="8" w:tplc="1CBA50A4" w:tentative="1">
      <w:start w:val="1"/>
      <w:numFmt w:val="lowerLetter"/>
      <w:lvlText w:val="%9)"/>
      <w:lvlJc w:val="left"/>
      <w:pPr>
        <w:tabs>
          <w:tab w:val="num" w:pos="6480"/>
        </w:tabs>
        <w:ind w:left="6480" w:hanging="360"/>
      </w:pPr>
    </w:lvl>
  </w:abstractNum>
  <w:abstractNum w:abstractNumId="11" w15:restartNumberingAfterBreak="0">
    <w:nsid w:val="35024195"/>
    <w:multiLevelType w:val="hybridMultilevel"/>
    <w:tmpl w:val="74AED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324A7"/>
    <w:multiLevelType w:val="hybridMultilevel"/>
    <w:tmpl w:val="8CB2125A"/>
    <w:lvl w:ilvl="0" w:tplc="673CDAD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82939"/>
    <w:multiLevelType w:val="hybridMultilevel"/>
    <w:tmpl w:val="3F70F872"/>
    <w:lvl w:ilvl="0" w:tplc="F606CCF4">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02F6B"/>
    <w:multiLevelType w:val="hybridMultilevel"/>
    <w:tmpl w:val="D184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4093A"/>
    <w:multiLevelType w:val="hybridMultilevel"/>
    <w:tmpl w:val="55C009C0"/>
    <w:lvl w:ilvl="0" w:tplc="C8EC8D72">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E6262"/>
    <w:multiLevelType w:val="hybridMultilevel"/>
    <w:tmpl w:val="34FAC3A0"/>
    <w:lvl w:ilvl="0" w:tplc="709EEC48">
      <w:start w:val="1"/>
      <w:numFmt w:val="bullet"/>
      <w:lvlText w:val=""/>
      <w:lvlJc w:val="left"/>
      <w:pPr>
        <w:ind w:left="535" w:hanging="360"/>
      </w:pPr>
      <w:rPr>
        <w:rFonts w:ascii="Symbol" w:hAnsi="Symbol" w:hint="default"/>
        <w:color w:val="6C2768"/>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7" w15:restartNumberingAfterBreak="0">
    <w:nsid w:val="4DF44601"/>
    <w:multiLevelType w:val="hybridMultilevel"/>
    <w:tmpl w:val="E4124070"/>
    <w:lvl w:ilvl="0" w:tplc="B1EE96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10702"/>
    <w:multiLevelType w:val="hybridMultilevel"/>
    <w:tmpl w:val="2D4ADFAC"/>
    <w:lvl w:ilvl="0" w:tplc="673CDADE">
      <w:start w:val="1"/>
      <w:numFmt w:val="bullet"/>
      <w:lvlText w:val="•"/>
      <w:lvlJc w:val="left"/>
      <w:pPr>
        <w:tabs>
          <w:tab w:val="num" w:pos="720"/>
        </w:tabs>
        <w:ind w:left="720" w:hanging="360"/>
      </w:pPr>
      <w:rPr>
        <w:rFonts w:ascii="Arial" w:hAnsi="Arial" w:hint="default"/>
      </w:rPr>
    </w:lvl>
    <w:lvl w:ilvl="1" w:tplc="1500FF92" w:tentative="1">
      <w:start w:val="1"/>
      <w:numFmt w:val="bullet"/>
      <w:lvlText w:val="•"/>
      <w:lvlJc w:val="left"/>
      <w:pPr>
        <w:tabs>
          <w:tab w:val="num" w:pos="1440"/>
        </w:tabs>
        <w:ind w:left="1440" w:hanging="360"/>
      </w:pPr>
      <w:rPr>
        <w:rFonts w:ascii="Arial" w:hAnsi="Arial" w:hint="default"/>
      </w:rPr>
    </w:lvl>
    <w:lvl w:ilvl="2" w:tplc="38741F78" w:tentative="1">
      <w:start w:val="1"/>
      <w:numFmt w:val="bullet"/>
      <w:lvlText w:val="•"/>
      <w:lvlJc w:val="left"/>
      <w:pPr>
        <w:tabs>
          <w:tab w:val="num" w:pos="2160"/>
        </w:tabs>
        <w:ind w:left="2160" w:hanging="360"/>
      </w:pPr>
      <w:rPr>
        <w:rFonts w:ascii="Arial" w:hAnsi="Arial" w:hint="default"/>
      </w:rPr>
    </w:lvl>
    <w:lvl w:ilvl="3" w:tplc="B0D0CDD8" w:tentative="1">
      <w:start w:val="1"/>
      <w:numFmt w:val="bullet"/>
      <w:lvlText w:val="•"/>
      <w:lvlJc w:val="left"/>
      <w:pPr>
        <w:tabs>
          <w:tab w:val="num" w:pos="2880"/>
        </w:tabs>
        <w:ind w:left="2880" w:hanging="360"/>
      </w:pPr>
      <w:rPr>
        <w:rFonts w:ascii="Arial" w:hAnsi="Arial" w:hint="default"/>
      </w:rPr>
    </w:lvl>
    <w:lvl w:ilvl="4" w:tplc="536846FC" w:tentative="1">
      <w:start w:val="1"/>
      <w:numFmt w:val="bullet"/>
      <w:lvlText w:val="•"/>
      <w:lvlJc w:val="left"/>
      <w:pPr>
        <w:tabs>
          <w:tab w:val="num" w:pos="3600"/>
        </w:tabs>
        <w:ind w:left="3600" w:hanging="360"/>
      </w:pPr>
      <w:rPr>
        <w:rFonts w:ascii="Arial" w:hAnsi="Arial" w:hint="default"/>
      </w:rPr>
    </w:lvl>
    <w:lvl w:ilvl="5" w:tplc="8828EC90" w:tentative="1">
      <w:start w:val="1"/>
      <w:numFmt w:val="bullet"/>
      <w:lvlText w:val="•"/>
      <w:lvlJc w:val="left"/>
      <w:pPr>
        <w:tabs>
          <w:tab w:val="num" w:pos="4320"/>
        </w:tabs>
        <w:ind w:left="4320" w:hanging="360"/>
      </w:pPr>
      <w:rPr>
        <w:rFonts w:ascii="Arial" w:hAnsi="Arial" w:hint="default"/>
      </w:rPr>
    </w:lvl>
    <w:lvl w:ilvl="6" w:tplc="D8BE8EE6" w:tentative="1">
      <w:start w:val="1"/>
      <w:numFmt w:val="bullet"/>
      <w:lvlText w:val="•"/>
      <w:lvlJc w:val="left"/>
      <w:pPr>
        <w:tabs>
          <w:tab w:val="num" w:pos="5040"/>
        </w:tabs>
        <w:ind w:left="5040" w:hanging="360"/>
      </w:pPr>
      <w:rPr>
        <w:rFonts w:ascii="Arial" w:hAnsi="Arial" w:hint="default"/>
      </w:rPr>
    </w:lvl>
    <w:lvl w:ilvl="7" w:tplc="72D02462" w:tentative="1">
      <w:start w:val="1"/>
      <w:numFmt w:val="bullet"/>
      <w:lvlText w:val="•"/>
      <w:lvlJc w:val="left"/>
      <w:pPr>
        <w:tabs>
          <w:tab w:val="num" w:pos="5760"/>
        </w:tabs>
        <w:ind w:left="5760" w:hanging="360"/>
      </w:pPr>
      <w:rPr>
        <w:rFonts w:ascii="Arial" w:hAnsi="Arial" w:hint="default"/>
      </w:rPr>
    </w:lvl>
    <w:lvl w:ilvl="8" w:tplc="472246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424CA7"/>
    <w:multiLevelType w:val="hybridMultilevel"/>
    <w:tmpl w:val="D7A0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2525FE"/>
    <w:multiLevelType w:val="hybridMultilevel"/>
    <w:tmpl w:val="441C7B60"/>
    <w:lvl w:ilvl="0" w:tplc="7CE4C3BA">
      <w:start w:val="1"/>
      <w:numFmt w:val="bullet"/>
      <w:lvlText w:val="•"/>
      <w:lvlJc w:val="left"/>
      <w:pPr>
        <w:tabs>
          <w:tab w:val="num" w:pos="720"/>
        </w:tabs>
        <w:ind w:left="720" w:hanging="360"/>
      </w:pPr>
      <w:rPr>
        <w:rFonts w:ascii="Arial" w:hAnsi="Arial" w:hint="default"/>
        <w:color w:val="auto"/>
      </w:rPr>
    </w:lvl>
    <w:lvl w:ilvl="1" w:tplc="035E95B6" w:tentative="1">
      <w:start w:val="1"/>
      <w:numFmt w:val="bullet"/>
      <w:lvlText w:val="•"/>
      <w:lvlJc w:val="left"/>
      <w:pPr>
        <w:tabs>
          <w:tab w:val="num" w:pos="1440"/>
        </w:tabs>
        <w:ind w:left="1440" w:hanging="360"/>
      </w:pPr>
      <w:rPr>
        <w:rFonts w:ascii="Arial" w:hAnsi="Arial" w:hint="default"/>
      </w:rPr>
    </w:lvl>
    <w:lvl w:ilvl="2" w:tplc="E32A4BA4" w:tentative="1">
      <w:start w:val="1"/>
      <w:numFmt w:val="bullet"/>
      <w:lvlText w:val="•"/>
      <w:lvlJc w:val="left"/>
      <w:pPr>
        <w:tabs>
          <w:tab w:val="num" w:pos="2160"/>
        </w:tabs>
        <w:ind w:left="2160" w:hanging="360"/>
      </w:pPr>
      <w:rPr>
        <w:rFonts w:ascii="Arial" w:hAnsi="Arial" w:hint="default"/>
      </w:rPr>
    </w:lvl>
    <w:lvl w:ilvl="3" w:tplc="4B486F98" w:tentative="1">
      <w:start w:val="1"/>
      <w:numFmt w:val="bullet"/>
      <w:lvlText w:val="•"/>
      <w:lvlJc w:val="left"/>
      <w:pPr>
        <w:tabs>
          <w:tab w:val="num" w:pos="2880"/>
        </w:tabs>
        <w:ind w:left="2880" w:hanging="360"/>
      </w:pPr>
      <w:rPr>
        <w:rFonts w:ascii="Arial" w:hAnsi="Arial" w:hint="default"/>
      </w:rPr>
    </w:lvl>
    <w:lvl w:ilvl="4" w:tplc="968ACF90" w:tentative="1">
      <w:start w:val="1"/>
      <w:numFmt w:val="bullet"/>
      <w:lvlText w:val="•"/>
      <w:lvlJc w:val="left"/>
      <w:pPr>
        <w:tabs>
          <w:tab w:val="num" w:pos="3600"/>
        </w:tabs>
        <w:ind w:left="3600" w:hanging="360"/>
      </w:pPr>
      <w:rPr>
        <w:rFonts w:ascii="Arial" w:hAnsi="Arial" w:hint="default"/>
      </w:rPr>
    </w:lvl>
    <w:lvl w:ilvl="5" w:tplc="5636D1AA" w:tentative="1">
      <w:start w:val="1"/>
      <w:numFmt w:val="bullet"/>
      <w:lvlText w:val="•"/>
      <w:lvlJc w:val="left"/>
      <w:pPr>
        <w:tabs>
          <w:tab w:val="num" w:pos="4320"/>
        </w:tabs>
        <w:ind w:left="4320" w:hanging="360"/>
      </w:pPr>
      <w:rPr>
        <w:rFonts w:ascii="Arial" w:hAnsi="Arial" w:hint="default"/>
      </w:rPr>
    </w:lvl>
    <w:lvl w:ilvl="6" w:tplc="067861B0" w:tentative="1">
      <w:start w:val="1"/>
      <w:numFmt w:val="bullet"/>
      <w:lvlText w:val="•"/>
      <w:lvlJc w:val="left"/>
      <w:pPr>
        <w:tabs>
          <w:tab w:val="num" w:pos="5040"/>
        </w:tabs>
        <w:ind w:left="5040" w:hanging="360"/>
      </w:pPr>
      <w:rPr>
        <w:rFonts w:ascii="Arial" w:hAnsi="Arial" w:hint="default"/>
      </w:rPr>
    </w:lvl>
    <w:lvl w:ilvl="7" w:tplc="37CAA3F2" w:tentative="1">
      <w:start w:val="1"/>
      <w:numFmt w:val="bullet"/>
      <w:lvlText w:val="•"/>
      <w:lvlJc w:val="left"/>
      <w:pPr>
        <w:tabs>
          <w:tab w:val="num" w:pos="5760"/>
        </w:tabs>
        <w:ind w:left="5760" w:hanging="360"/>
      </w:pPr>
      <w:rPr>
        <w:rFonts w:ascii="Arial" w:hAnsi="Arial" w:hint="default"/>
      </w:rPr>
    </w:lvl>
    <w:lvl w:ilvl="8" w:tplc="EA1E2A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1A4F53"/>
    <w:multiLevelType w:val="hybridMultilevel"/>
    <w:tmpl w:val="7D0C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86677"/>
    <w:multiLevelType w:val="hybridMultilevel"/>
    <w:tmpl w:val="9D80A4E6"/>
    <w:lvl w:ilvl="0" w:tplc="2AB6D616">
      <w:start w:val="1"/>
      <w:numFmt w:val="bullet"/>
      <w:lvlText w:val="-"/>
      <w:lvlJc w:val="left"/>
      <w:pPr>
        <w:ind w:left="2346" w:hanging="360"/>
      </w:pPr>
      <w:rPr>
        <w:rFonts w:ascii="Arial" w:eastAsia="Times New Roman" w:hAnsi="Arial" w:cs="Arial" w:hint="default"/>
      </w:rPr>
    </w:lvl>
    <w:lvl w:ilvl="1" w:tplc="08090003" w:tentative="1">
      <w:start w:val="1"/>
      <w:numFmt w:val="bullet"/>
      <w:lvlText w:val="o"/>
      <w:lvlJc w:val="left"/>
      <w:pPr>
        <w:ind w:left="3066" w:hanging="360"/>
      </w:pPr>
      <w:rPr>
        <w:rFonts w:ascii="Courier New" w:hAnsi="Courier New" w:cs="Courier New" w:hint="default"/>
      </w:rPr>
    </w:lvl>
    <w:lvl w:ilvl="2" w:tplc="08090005" w:tentative="1">
      <w:start w:val="1"/>
      <w:numFmt w:val="bullet"/>
      <w:lvlText w:val=""/>
      <w:lvlJc w:val="left"/>
      <w:pPr>
        <w:ind w:left="3786" w:hanging="360"/>
      </w:pPr>
      <w:rPr>
        <w:rFonts w:ascii="Wingdings" w:hAnsi="Wingdings" w:hint="default"/>
      </w:rPr>
    </w:lvl>
    <w:lvl w:ilvl="3" w:tplc="08090001" w:tentative="1">
      <w:start w:val="1"/>
      <w:numFmt w:val="bullet"/>
      <w:lvlText w:val=""/>
      <w:lvlJc w:val="left"/>
      <w:pPr>
        <w:ind w:left="4506" w:hanging="360"/>
      </w:pPr>
      <w:rPr>
        <w:rFonts w:ascii="Symbol" w:hAnsi="Symbol" w:hint="default"/>
      </w:rPr>
    </w:lvl>
    <w:lvl w:ilvl="4" w:tplc="08090003" w:tentative="1">
      <w:start w:val="1"/>
      <w:numFmt w:val="bullet"/>
      <w:lvlText w:val="o"/>
      <w:lvlJc w:val="left"/>
      <w:pPr>
        <w:ind w:left="5226" w:hanging="360"/>
      </w:pPr>
      <w:rPr>
        <w:rFonts w:ascii="Courier New" w:hAnsi="Courier New" w:cs="Courier New" w:hint="default"/>
      </w:rPr>
    </w:lvl>
    <w:lvl w:ilvl="5" w:tplc="08090005" w:tentative="1">
      <w:start w:val="1"/>
      <w:numFmt w:val="bullet"/>
      <w:lvlText w:val=""/>
      <w:lvlJc w:val="left"/>
      <w:pPr>
        <w:ind w:left="5946" w:hanging="360"/>
      </w:pPr>
      <w:rPr>
        <w:rFonts w:ascii="Wingdings" w:hAnsi="Wingdings" w:hint="default"/>
      </w:rPr>
    </w:lvl>
    <w:lvl w:ilvl="6" w:tplc="08090001" w:tentative="1">
      <w:start w:val="1"/>
      <w:numFmt w:val="bullet"/>
      <w:lvlText w:val=""/>
      <w:lvlJc w:val="left"/>
      <w:pPr>
        <w:ind w:left="6666" w:hanging="360"/>
      </w:pPr>
      <w:rPr>
        <w:rFonts w:ascii="Symbol" w:hAnsi="Symbol" w:hint="default"/>
      </w:rPr>
    </w:lvl>
    <w:lvl w:ilvl="7" w:tplc="08090003" w:tentative="1">
      <w:start w:val="1"/>
      <w:numFmt w:val="bullet"/>
      <w:lvlText w:val="o"/>
      <w:lvlJc w:val="left"/>
      <w:pPr>
        <w:ind w:left="7386" w:hanging="360"/>
      </w:pPr>
      <w:rPr>
        <w:rFonts w:ascii="Courier New" w:hAnsi="Courier New" w:cs="Courier New" w:hint="default"/>
      </w:rPr>
    </w:lvl>
    <w:lvl w:ilvl="8" w:tplc="08090005" w:tentative="1">
      <w:start w:val="1"/>
      <w:numFmt w:val="bullet"/>
      <w:lvlText w:val=""/>
      <w:lvlJc w:val="left"/>
      <w:pPr>
        <w:ind w:left="8106" w:hanging="360"/>
      </w:pPr>
      <w:rPr>
        <w:rFonts w:ascii="Wingdings" w:hAnsi="Wingdings" w:hint="default"/>
      </w:rPr>
    </w:lvl>
  </w:abstractNum>
  <w:abstractNum w:abstractNumId="23" w15:restartNumberingAfterBreak="0">
    <w:nsid w:val="7F954CFB"/>
    <w:multiLevelType w:val="hybridMultilevel"/>
    <w:tmpl w:val="22AA53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20"/>
  </w:num>
  <w:num w:numId="4">
    <w:abstractNumId w:val="18"/>
  </w:num>
  <w:num w:numId="5">
    <w:abstractNumId w:val="1"/>
  </w:num>
  <w:num w:numId="6">
    <w:abstractNumId w:val="14"/>
  </w:num>
  <w:num w:numId="7">
    <w:abstractNumId w:val="21"/>
  </w:num>
  <w:num w:numId="8">
    <w:abstractNumId w:val="12"/>
  </w:num>
  <w:num w:numId="9">
    <w:abstractNumId w:val="23"/>
  </w:num>
  <w:num w:numId="10">
    <w:abstractNumId w:val="7"/>
  </w:num>
  <w:num w:numId="11">
    <w:abstractNumId w:val="22"/>
  </w:num>
  <w:num w:numId="12">
    <w:abstractNumId w:val="8"/>
  </w:num>
  <w:num w:numId="13">
    <w:abstractNumId w:val="9"/>
  </w:num>
  <w:num w:numId="14">
    <w:abstractNumId w:val="5"/>
  </w:num>
  <w:num w:numId="15">
    <w:abstractNumId w:val="15"/>
  </w:num>
  <w:num w:numId="16">
    <w:abstractNumId w:val="11"/>
  </w:num>
  <w:num w:numId="17">
    <w:abstractNumId w:val="10"/>
  </w:num>
  <w:num w:numId="18">
    <w:abstractNumId w:val="19"/>
  </w:num>
  <w:num w:numId="19">
    <w:abstractNumId w:val="17"/>
  </w:num>
  <w:num w:numId="20">
    <w:abstractNumId w:val="0"/>
  </w:num>
  <w:num w:numId="21">
    <w:abstractNumId w:val="13"/>
  </w:num>
  <w:num w:numId="22">
    <w:abstractNumId w:val="4"/>
  </w:num>
  <w:num w:numId="23">
    <w:abstractNumId w:val="6"/>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style="mso-width-relative:margin;mso-height-relative:margin" fillcolor="none [663]" stroke="f" strokecolor="none [3204]">
      <v:fill color="none [663]" color2="none [3204]"/>
      <v:stroke color="none [3204]" weight="1pt" on="f"/>
      <v:shadow type="perspective" color="none [1604]" offset="1pt" offset2="-3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25"/>
    <w:rsid w:val="00000004"/>
    <w:rsid w:val="0000111F"/>
    <w:rsid w:val="0000157C"/>
    <w:rsid w:val="00001722"/>
    <w:rsid w:val="000017B4"/>
    <w:rsid w:val="000024E2"/>
    <w:rsid w:val="000025C8"/>
    <w:rsid w:val="000039FF"/>
    <w:rsid w:val="00003B99"/>
    <w:rsid w:val="0000409D"/>
    <w:rsid w:val="000041F9"/>
    <w:rsid w:val="0000473A"/>
    <w:rsid w:val="000048E2"/>
    <w:rsid w:val="00004DF0"/>
    <w:rsid w:val="00005170"/>
    <w:rsid w:val="0000554D"/>
    <w:rsid w:val="000071C9"/>
    <w:rsid w:val="00007408"/>
    <w:rsid w:val="00010037"/>
    <w:rsid w:val="0001094D"/>
    <w:rsid w:val="0001119F"/>
    <w:rsid w:val="00011384"/>
    <w:rsid w:val="000115C9"/>
    <w:rsid w:val="00012BBE"/>
    <w:rsid w:val="00013C8B"/>
    <w:rsid w:val="0001407F"/>
    <w:rsid w:val="000144E2"/>
    <w:rsid w:val="000146FA"/>
    <w:rsid w:val="00015368"/>
    <w:rsid w:val="000154ED"/>
    <w:rsid w:val="00015A5C"/>
    <w:rsid w:val="00015CCF"/>
    <w:rsid w:val="000163EC"/>
    <w:rsid w:val="0001644E"/>
    <w:rsid w:val="00016634"/>
    <w:rsid w:val="00016849"/>
    <w:rsid w:val="00017591"/>
    <w:rsid w:val="000203D9"/>
    <w:rsid w:val="00020AC2"/>
    <w:rsid w:val="00020B47"/>
    <w:rsid w:val="00020E6A"/>
    <w:rsid w:val="000218D0"/>
    <w:rsid w:val="00021B8C"/>
    <w:rsid w:val="0002303C"/>
    <w:rsid w:val="00023C65"/>
    <w:rsid w:val="00024928"/>
    <w:rsid w:val="0002590C"/>
    <w:rsid w:val="000259EA"/>
    <w:rsid w:val="00025C53"/>
    <w:rsid w:val="00025CA3"/>
    <w:rsid w:val="00025F50"/>
    <w:rsid w:val="00026781"/>
    <w:rsid w:val="00026B32"/>
    <w:rsid w:val="00026B95"/>
    <w:rsid w:val="00026C92"/>
    <w:rsid w:val="00027370"/>
    <w:rsid w:val="00027AB1"/>
    <w:rsid w:val="000301A3"/>
    <w:rsid w:val="00030747"/>
    <w:rsid w:val="000319D9"/>
    <w:rsid w:val="00031DE1"/>
    <w:rsid w:val="0003246B"/>
    <w:rsid w:val="00032515"/>
    <w:rsid w:val="00032DD2"/>
    <w:rsid w:val="000336CB"/>
    <w:rsid w:val="00033E67"/>
    <w:rsid w:val="0003424F"/>
    <w:rsid w:val="0003467E"/>
    <w:rsid w:val="00034894"/>
    <w:rsid w:val="00034C5F"/>
    <w:rsid w:val="000350AB"/>
    <w:rsid w:val="00035682"/>
    <w:rsid w:val="000356F8"/>
    <w:rsid w:val="0003686C"/>
    <w:rsid w:val="00036FEF"/>
    <w:rsid w:val="0003757D"/>
    <w:rsid w:val="000377C4"/>
    <w:rsid w:val="00037C62"/>
    <w:rsid w:val="000400D1"/>
    <w:rsid w:val="00040406"/>
    <w:rsid w:val="00040B1E"/>
    <w:rsid w:val="00040BAE"/>
    <w:rsid w:val="00040C14"/>
    <w:rsid w:val="00041301"/>
    <w:rsid w:val="000427BD"/>
    <w:rsid w:val="00042E3A"/>
    <w:rsid w:val="00042F88"/>
    <w:rsid w:val="000430BE"/>
    <w:rsid w:val="00043CD1"/>
    <w:rsid w:val="0004425B"/>
    <w:rsid w:val="0004432F"/>
    <w:rsid w:val="000444F9"/>
    <w:rsid w:val="00044F27"/>
    <w:rsid w:val="00044F2F"/>
    <w:rsid w:val="000450D8"/>
    <w:rsid w:val="00045882"/>
    <w:rsid w:val="0004606F"/>
    <w:rsid w:val="00046E0D"/>
    <w:rsid w:val="000472FE"/>
    <w:rsid w:val="000475B2"/>
    <w:rsid w:val="00050657"/>
    <w:rsid w:val="0005065D"/>
    <w:rsid w:val="00050736"/>
    <w:rsid w:val="000509FB"/>
    <w:rsid w:val="0005160D"/>
    <w:rsid w:val="000527A4"/>
    <w:rsid w:val="00052E20"/>
    <w:rsid w:val="0005499C"/>
    <w:rsid w:val="000549F9"/>
    <w:rsid w:val="000552AC"/>
    <w:rsid w:val="000554CA"/>
    <w:rsid w:val="00055AD4"/>
    <w:rsid w:val="00055AFC"/>
    <w:rsid w:val="00055C72"/>
    <w:rsid w:val="00055C7C"/>
    <w:rsid w:val="000571A9"/>
    <w:rsid w:val="000574AF"/>
    <w:rsid w:val="000574EC"/>
    <w:rsid w:val="00057618"/>
    <w:rsid w:val="00057974"/>
    <w:rsid w:val="00061397"/>
    <w:rsid w:val="000613A5"/>
    <w:rsid w:val="00061B70"/>
    <w:rsid w:val="000621E0"/>
    <w:rsid w:val="00062F58"/>
    <w:rsid w:val="0006340A"/>
    <w:rsid w:val="0006361A"/>
    <w:rsid w:val="00063705"/>
    <w:rsid w:val="00064226"/>
    <w:rsid w:val="00064A5C"/>
    <w:rsid w:val="00064FA8"/>
    <w:rsid w:val="000655F5"/>
    <w:rsid w:val="00065DA2"/>
    <w:rsid w:val="00066732"/>
    <w:rsid w:val="00066DCE"/>
    <w:rsid w:val="00067030"/>
    <w:rsid w:val="00067900"/>
    <w:rsid w:val="00067C49"/>
    <w:rsid w:val="0007057B"/>
    <w:rsid w:val="00070F18"/>
    <w:rsid w:val="00071437"/>
    <w:rsid w:val="00071695"/>
    <w:rsid w:val="000718FC"/>
    <w:rsid w:val="00071B73"/>
    <w:rsid w:val="00071E9A"/>
    <w:rsid w:val="000720C5"/>
    <w:rsid w:val="000724DC"/>
    <w:rsid w:val="00072F0A"/>
    <w:rsid w:val="00073472"/>
    <w:rsid w:val="00073E08"/>
    <w:rsid w:val="000742B6"/>
    <w:rsid w:val="00074442"/>
    <w:rsid w:val="0007544B"/>
    <w:rsid w:val="000762D0"/>
    <w:rsid w:val="0007746C"/>
    <w:rsid w:val="00077728"/>
    <w:rsid w:val="00077D0C"/>
    <w:rsid w:val="0008071C"/>
    <w:rsid w:val="00080964"/>
    <w:rsid w:val="00080A8C"/>
    <w:rsid w:val="00080B7C"/>
    <w:rsid w:val="000813CA"/>
    <w:rsid w:val="00081466"/>
    <w:rsid w:val="00082944"/>
    <w:rsid w:val="00082E06"/>
    <w:rsid w:val="00083387"/>
    <w:rsid w:val="000833B4"/>
    <w:rsid w:val="00083718"/>
    <w:rsid w:val="000839F4"/>
    <w:rsid w:val="00083B44"/>
    <w:rsid w:val="00084C54"/>
    <w:rsid w:val="00084C95"/>
    <w:rsid w:val="00085462"/>
    <w:rsid w:val="00085C38"/>
    <w:rsid w:val="0008609A"/>
    <w:rsid w:val="000864E4"/>
    <w:rsid w:val="000867B3"/>
    <w:rsid w:val="00086C82"/>
    <w:rsid w:val="00087FA1"/>
    <w:rsid w:val="00090269"/>
    <w:rsid w:val="00090A9E"/>
    <w:rsid w:val="00090CA5"/>
    <w:rsid w:val="0009105A"/>
    <w:rsid w:val="000918F7"/>
    <w:rsid w:val="000927DA"/>
    <w:rsid w:val="00092B02"/>
    <w:rsid w:val="00092DBF"/>
    <w:rsid w:val="000937CB"/>
    <w:rsid w:val="00094029"/>
    <w:rsid w:val="0009460C"/>
    <w:rsid w:val="00094B33"/>
    <w:rsid w:val="00094DDE"/>
    <w:rsid w:val="000952D5"/>
    <w:rsid w:val="00095B2D"/>
    <w:rsid w:val="000962E1"/>
    <w:rsid w:val="00097C3F"/>
    <w:rsid w:val="000A0298"/>
    <w:rsid w:val="000A06B0"/>
    <w:rsid w:val="000A070F"/>
    <w:rsid w:val="000A07D3"/>
    <w:rsid w:val="000A0A06"/>
    <w:rsid w:val="000A16FF"/>
    <w:rsid w:val="000A1A68"/>
    <w:rsid w:val="000A1BD2"/>
    <w:rsid w:val="000A2585"/>
    <w:rsid w:val="000A26F8"/>
    <w:rsid w:val="000A287B"/>
    <w:rsid w:val="000A2906"/>
    <w:rsid w:val="000A2AFD"/>
    <w:rsid w:val="000A2C2A"/>
    <w:rsid w:val="000A3136"/>
    <w:rsid w:val="000A35D5"/>
    <w:rsid w:val="000A3998"/>
    <w:rsid w:val="000A4523"/>
    <w:rsid w:val="000A4601"/>
    <w:rsid w:val="000A470F"/>
    <w:rsid w:val="000A4A09"/>
    <w:rsid w:val="000A4A71"/>
    <w:rsid w:val="000A504E"/>
    <w:rsid w:val="000A589A"/>
    <w:rsid w:val="000A604E"/>
    <w:rsid w:val="000A63EC"/>
    <w:rsid w:val="000A7E23"/>
    <w:rsid w:val="000B025F"/>
    <w:rsid w:val="000B0752"/>
    <w:rsid w:val="000B13B5"/>
    <w:rsid w:val="000B15D1"/>
    <w:rsid w:val="000B167B"/>
    <w:rsid w:val="000B169C"/>
    <w:rsid w:val="000B1B1B"/>
    <w:rsid w:val="000B1BAC"/>
    <w:rsid w:val="000B1D3F"/>
    <w:rsid w:val="000B2615"/>
    <w:rsid w:val="000B3FEC"/>
    <w:rsid w:val="000B448F"/>
    <w:rsid w:val="000B4711"/>
    <w:rsid w:val="000B4837"/>
    <w:rsid w:val="000B4858"/>
    <w:rsid w:val="000B48A4"/>
    <w:rsid w:val="000B493E"/>
    <w:rsid w:val="000B53D2"/>
    <w:rsid w:val="000B68A4"/>
    <w:rsid w:val="000B72B4"/>
    <w:rsid w:val="000B73CB"/>
    <w:rsid w:val="000B7A81"/>
    <w:rsid w:val="000C0554"/>
    <w:rsid w:val="000C0CDD"/>
    <w:rsid w:val="000C0D2C"/>
    <w:rsid w:val="000C13B5"/>
    <w:rsid w:val="000C15BD"/>
    <w:rsid w:val="000C267A"/>
    <w:rsid w:val="000C320A"/>
    <w:rsid w:val="000C3B03"/>
    <w:rsid w:val="000C4457"/>
    <w:rsid w:val="000C49A6"/>
    <w:rsid w:val="000C4AC7"/>
    <w:rsid w:val="000C4F02"/>
    <w:rsid w:val="000C4F68"/>
    <w:rsid w:val="000C5261"/>
    <w:rsid w:val="000C5565"/>
    <w:rsid w:val="000C577C"/>
    <w:rsid w:val="000C631E"/>
    <w:rsid w:val="000C64C2"/>
    <w:rsid w:val="000C68D1"/>
    <w:rsid w:val="000C6A31"/>
    <w:rsid w:val="000C6FD3"/>
    <w:rsid w:val="000D00E1"/>
    <w:rsid w:val="000D0633"/>
    <w:rsid w:val="000D0970"/>
    <w:rsid w:val="000D0EBA"/>
    <w:rsid w:val="000D0F11"/>
    <w:rsid w:val="000D126F"/>
    <w:rsid w:val="000D15D0"/>
    <w:rsid w:val="000D16AD"/>
    <w:rsid w:val="000D1F59"/>
    <w:rsid w:val="000D2024"/>
    <w:rsid w:val="000D25B6"/>
    <w:rsid w:val="000D2619"/>
    <w:rsid w:val="000D2D23"/>
    <w:rsid w:val="000D34B5"/>
    <w:rsid w:val="000D3A6A"/>
    <w:rsid w:val="000D3BE8"/>
    <w:rsid w:val="000D3C88"/>
    <w:rsid w:val="000D4A1A"/>
    <w:rsid w:val="000D5166"/>
    <w:rsid w:val="000D5394"/>
    <w:rsid w:val="000D5805"/>
    <w:rsid w:val="000D61BA"/>
    <w:rsid w:val="000D6430"/>
    <w:rsid w:val="000D6D11"/>
    <w:rsid w:val="000D7102"/>
    <w:rsid w:val="000D7A77"/>
    <w:rsid w:val="000E04BE"/>
    <w:rsid w:val="000E0B86"/>
    <w:rsid w:val="000E0E1E"/>
    <w:rsid w:val="000E0FCE"/>
    <w:rsid w:val="000E11C6"/>
    <w:rsid w:val="000E1218"/>
    <w:rsid w:val="000E1368"/>
    <w:rsid w:val="000E1A6C"/>
    <w:rsid w:val="000E1BAA"/>
    <w:rsid w:val="000E21C1"/>
    <w:rsid w:val="000E26A1"/>
    <w:rsid w:val="000E3501"/>
    <w:rsid w:val="000E37E3"/>
    <w:rsid w:val="000E40B0"/>
    <w:rsid w:val="000E416F"/>
    <w:rsid w:val="000E4835"/>
    <w:rsid w:val="000E48AE"/>
    <w:rsid w:val="000E4BCD"/>
    <w:rsid w:val="000E4CAB"/>
    <w:rsid w:val="000E4FA0"/>
    <w:rsid w:val="000E582B"/>
    <w:rsid w:val="000E58F3"/>
    <w:rsid w:val="000E5BF5"/>
    <w:rsid w:val="000E5D3C"/>
    <w:rsid w:val="000E664B"/>
    <w:rsid w:val="000E665B"/>
    <w:rsid w:val="000E71D2"/>
    <w:rsid w:val="000E72D2"/>
    <w:rsid w:val="000E7821"/>
    <w:rsid w:val="000E7A7A"/>
    <w:rsid w:val="000E7C95"/>
    <w:rsid w:val="000F06DE"/>
    <w:rsid w:val="000F083B"/>
    <w:rsid w:val="000F0A39"/>
    <w:rsid w:val="000F1418"/>
    <w:rsid w:val="000F1729"/>
    <w:rsid w:val="000F259B"/>
    <w:rsid w:val="000F3981"/>
    <w:rsid w:val="000F4745"/>
    <w:rsid w:val="000F47D4"/>
    <w:rsid w:val="000F496D"/>
    <w:rsid w:val="000F52FD"/>
    <w:rsid w:val="000F543D"/>
    <w:rsid w:val="000F67AE"/>
    <w:rsid w:val="000F6D5D"/>
    <w:rsid w:val="000F6E29"/>
    <w:rsid w:val="00100921"/>
    <w:rsid w:val="001009B2"/>
    <w:rsid w:val="00101673"/>
    <w:rsid w:val="00101EB5"/>
    <w:rsid w:val="00102259"/>
    <w:rsid w:val="00103257"/>
    <w:rsid w:val="0010336C"/>
    <w:rsid w:val="00103507"/>
    <w:rsid w:val="001037DE"/>
    <w:rsid w:val="001039AE"/>
    <w:rsid w:val="00103B8D"/>
    <w:rsid w:val="00103C9A"/>
    <w:rsid w:val="00104180"/>
    <w:rsid w:val="00105286"/>
    <w:rsid w:val="00105B49"/>
    <w:rsid w:val="00105E44"/>
    <w:rsid w:val="001060DF"/>
    <w:rsid w:val="00106119"/>
    <w:rsid w:val="00106738"/>
    <w:rsid w:val="00106C05"/>
    <w:rsid w:val="0010739B"/>
    <w:rsid w:val="00107505"/>
    <w:rsid w:val="00107942"/>
    <w:rsid w:val="001100C5"/>
    <w:rsid w:val="0011103E"/>
    <w:rsid w:val="00111D27"/>
    <w:rsid w:val="00112644"/>
    <w:rsid w:val="00113BA6"/>
    <w:rsid w:val="00114C43"/>
    <w:rsid w:val="00114FD1"/>
    <w:rsid w:val="001155D4"/>
    <w:rsid w:val="001168E8"/>
    <w:rsid w:val="00116AC6"/>
    <w:rsid w:val="00116FBE"/>
    <w:rsid w:val="0011746F"/>
    <w:rsid w:val="001176DE"/>
    <w:rsid w:val="00117A46"/>
    <w:rsid w:val="00117BAB"/>
    <w:rsid w:val="00117DE0"/>
    <w:rsid w:val="00117F79"/>
    <w:rsid w:val="001206A7"/>
    <w:rsid w:val="001209E6"/>
    <w:rsid w:val="00121A23"/>
    <w:rsid w:val="00121BD2"/>
    <w:rsid w:val="001224CD"/>
    <w:rsid w:val="00122B40"/>
    <w:rsid w:val="001231A9"/>
    <w:rsid w:val="00123233"/>
    <w:rsid w:val="00123562"/>
    <w:rsid w:val="0012380E"/>
    <w:rsid w:val="001238EC"/>
    <w:rsid w:val="001240D7"/>
    <w:rsid w:val="001249E3"/>
    <w:rsid w:val="00124BB8"/>
    <w:rsid w:val="00124C74"/>
    <w:rsid w:val="00125412"/>
    <w:rsid w:val="00125C4D"/>
    <w:rsid w:val="00125FA7"/>
    <w:rsid w:val="0012608D"/>
    <w:rsid w:val="0012629E"/>
    <w:rsid w:val="001264D6"/>
    <w:rsid w:val="001267A0"/>
    <w:rsid w:val="00127966"/>
    <w:rsid w:val="001305AB"/>
    <w:rsid w:val="00130A3A"/>
    <w:rsid w:val="001310CD"/>
    <w:rsid w:val="00131DF6"/>
    <w:rsid w:val="0013240A"/>
    <w:rsid w:val="00132770"/>
    <w:rsid w:val="00133524"/>
    <w:rsid w:val="001339D7"/>
    <w:rsid w:val="00133F32"/>
    <w:rsid w:val="0013421E"/>
    <w:rsid w:val="0013485D"/>
    <w:rsid w:val="00135448"/>
    <w:rsid w:val="00135485"/>
    <w:rsid w:val="0013553D"/>
    <w:rsid w:val="00135D4B"/>
    <w:rsid w:val="00135DD4"/>
    <w:rsid w:val="00136D4F"/>
    <w:rsid w:val="00136DFA"/>
    <w:rsid w:val="00137047"/>
    <w:rsid w:val="0013766B"/>
    <w:rsid w:val="00137840"/>
    <w:rsid w:val="00137902"/>
    <w:rsid w:val="00140285"/>
    <w:rsid w:val="00141333"/>
    <w:rsid w:val="001415CC"/>
    <w:rsid w:val="00141CF6"/>
    <w:rsid w:val="00141EF9"/>
    <w:rsid w:val="00142080"/>
    <w:rsid w:val="00142272"/>
    <w:rsid w:val="001429E9"/>
    <w:rsid w:val="00142BA9"/>
    <w:rsid w:val="001432AE"/>
    <w:rsid w:val="00143C28"/>
    <w:rsid w:val="001440BD"/>
    <w:rsid w:val="00144F55"/>
    <w:rsid w:val="001454F0"/>
    <w:rsid w:val="001455CD"/>
    <w:rsid w:val="00145F7E"/>
    <w:rsid w:val="001462BB"/>
    <w:rsid w:val="0014674D"/>
    <w:rsid w:val="0014690E"/>
    <w:rsid w:val="00146A25"/>
    <w:rsid w:val="00146C1A"/>
    <w:rsid w:val="00146CDB"/>
    <w:rsid w:val="00146D8F"/>
    <w:rsid w:val="00146DB0"/>
    <w:rsid w:val="00146F7A"/>
    <w:rsid w:val="0014702A"/>
    <w:rsid w:val="001479EC"/>
    <w:rsid w:val="00147EE5"/>
    <w:rsid w:val="00147F9B"/>
    <w:rsid w:val="001500A2"/>
    <w:rsid w:val="0015029E"/>
    <w:rsid w:val="00151178"/>
    <w:rsid w:val="00151678"/>
    <w:rsid w:val="00151E09"/>
    <w:rsid w:val="00151E8C"/>
    <w:rsid w:val="001528E4"/>
    <w:rsid w:val="00152917"/>
    <w:rsid w:val="00152B03"/>
    <w:rsid w:val="00152D53"/>
    <w:rsid w:val="001530D0"/>
    <w:rsid w:val="00153A98"/>
    <w:rsid w:val="00153E66"/>
    <w:rsid w:val="00153E88"/>
    <w:rsid w:val="001540BB"/>
    <w:rsid w:val="00154557"/>
    <w:rsid w:val="001547D7"/>
    <w:rsid w:val="00155055"/>
    <w:rsid w:val="00155309"/>
    <w:rsid w:val="00156E29"/>
    <w:rsid w:val="00160978"/>
    <w:rsid w:val="00161564"/>
    <w:rsid w:val="0016190B"/>
    <w:rsid w:val="001619E6"/>
    <w:rsid w:val="00161E4F"/>
    <w:rsid w:val="00162118"/>
    <w:rsid w:val="00162B37"/>
    <w:rsid w:val="001635C1"/>
    <w:rsid w:val="00165D17"/>
    <w:rsid w:val="0016722A"/>
    <w:rsid w:val="0016743F"/>
    <w:rsid w:val="001675EA"/>
    <w:rsid w:val="00167711"/>
    <w:rsid w:val="00167AA7"/>
    <w:rsid w:val="00167E1B"/>
    <w:rsid w:val="00170285"/>
    <w:rsid w:val="00170A3B"/>
    <w:rsid w:val="00171612"/>
    <w:rsid w:val="00171C97"/>
    <w:rsid w:val="00172E29"/>
    <w:rsid w:val="00173777"/>
    <w:rsid w:val="001742F1"/>
    <w:rsid w:val="001747B1"/>
    <w:rsid w:val="00174B92"/>
    <w:rsid w:val="00174C43"/>
    <w:rsid w:val="00174E48"/>
    <w:rsid w:val="00175407"/>
    <w:rsid w:val="0017544F"/>
    <w:rsid w:val="00175A3F"/>
    <w:rsid w:val="00175CAD"/>
    <w:rsid w:val="00175E80"/>
    <w:rsid w:val="00176AC1"/>
    <w:rsid w:val="00177EDD"/>
    <w:rsid w:val="001802D4"/>
    <w:rsid w:val="00181381"/>
    <w:rsid w:val="0018280C"/>
    <w:rsid w:val="00182EB0"/>
    <w:rsid w:val="001838C8"/>
    <w:rsid w:val="00183A2F"/>
    <w:rsid w:val="00183B17"/>
    <w:rsid w:val="00183C24"/>
    <w:rsid w:val="0018415E"/>
    <w:rsid w:val="001841FC"/>
    <w:rsid w:val="00184F1B"/>
    <w:rsid w:val="00185CB5"/>
    <w:rsid w:val="00185F42"/>
    <w:rsid w:val="0019008C"/>
    <w:rsid w:val="00190136"/>
    <w:rsid w:val="00190C51"/>
    <w:rsid w:val="001917BC"/>
    <w:rsid w:val="001922F3"/>
    <w:rsid w:val="00192370"/>
    <w:rsid w:val="00193267"/>
    <w:rsid w:val="0019447F"/>
    <w:rsid w:val="001945D0"/>
    <w:rsid w:val="00195289"/>
    <w:rsid w:val="00195A51"/>
    <w:rsid w:val="001961A9"/>
    <w:rsid w:val="00196CD1"/>
    <w:rsid w:val="001A09D4"/>
    <w:rsid w:val="001A1924"/>
    <w:rsid w:val="001A1D18"/>
    <w:rsid w:val="001A3E7E"/>
    <w:rsid w:val="001A458E"/>
    <w:rsid w:val="001A46AB"/>
    <w:rsid w:val="001A4B61"/>
    <w:rsid w:val="001A5D30"/>
    <w:rsid w:val="001A5FA2"/>
    <w:rsid w:val="001A63BC"/>
    <w:rsid w:val="001A6B7D"/>
    <w:rsid w:val="001A6B93"/>
    <w:rsid w:val="001A7594"/>
    <w:rsid w:val="001A7D90"/>
    <w:rsid w:val="001A7FBB"/>
    <w:rsid w:val="001B062D"/>
    <w:rsid w:val="001B08F8"/>
    <w:rsid w:val="001B0C39"/>
    <w:rsid w:val="001B123B"/>
    <w:rsid w:val="001B15C1"/>
    <w:rsid w:val="001B2077"/>
    <w:rsid w:val="001B230A"/>
    <w:rsid w:val="001B23A8"/>
    <w:rsid w:val="001B29C2"/>
    <w:rsid w:val="001B3173"/>
    <w:rsid w:val="001B3252"/>
    <w:rsid w:val="001B4858"/>
    <w:rsid w:val="001B49BF"/>
    <w:rsid w:val="001B5F69"/>
    <w:rsid w:val="001B6153"/>
    <w:rsid w:val="001B6ED9"/>
    <w:rsid w:val="001B72C7"/>
    <w:rsid w:val="001B779A"/>
    <w:rsid w:val="001C04F3"/>
    <w:rsid w:val="001C0AC6"/>
    <w:rsid w:val="001C16EB"/>
    <w:rsid w:val="001C17C6"/>
    <w:rsid w:val="001C2214"/>
    <w:rsid w:val="001C24BC"/>
    <w:rsid w:val="001C2891"/>
    <w:rsid w:val="001C3A63"/>
    <w:rsid w:val="001C3CC7"/>
    <w:rsid w:val="001C4690"/>
    <w:rsid w:val="001C573B"/>
    <w:rsid w:val="001C5A17"/>
    <w:rsid w:val="001C65E8"/>
    <w:rsid w:val="001C65F5"/>
    <w:rsid w:val="001C66ED"/>
    <w:rsid w:val="001C680F"/>
    <w:rsid w:val="001D0EC5"/>
    <w:rsid w:val="001D0F65"/>
    <w:rsid w:val="001D0FCB"/>
    <w:rsid w:val="001D11BF"/>
    <w:rsid w:val="001D202F"/>
    <w:rsid w:val="001D2112"/>
    <w:rsid w:val="001D2FCA"/>
    <w:rsid w:val="001D346D"/>
    <w:rsid w:val="001D34AE"/>
    <w:rsid w:val="001D39D9"/>
    <w:rsid w:val="001D3F09"/>
    <w:rsid w:val="001D3FDF"/>
    <w:rsid w:val="001D5343"/>
    <w:rsid w:val="001D5C7A"/>
    <w:rsid w:val="001D6926"/>
    <w:rsid w:val="001D7860"/>
    <w:rsid w:val="001D789D"/>
    <w:rsid w:val="001E002F"/>
    <w:rsid w:val="001E05E4"/>
    <w:rsid w:val="001E0797"/>
    <w:rsid w:val="001E0CB1"/>
    <w:rsid w:val="001E0DAF"/>
    <w:rsid w:val="001E0F44"/>
    <w:rsid w:val="001E116E"/>
    <w:rsid w:val="001E1FEE"/>
    <w:rsid w:val="001E2D87"/>
    <w:rsid w:val="001E31DB"/>
    <w:rsid w:val="001E38BC"/>
    <w:rsid w:val="001E38E1"/>
    <w:rsid w:val="001E3C1A"/>
    <w:rsid w:val="001E3FAC"/>
    <w:rsid w:val="001E40C1"/>
    <w:rsid w:val="001E48A3"/>
    <w:rsid w:val="001E49C9"/>
    <w:rsid w:val="001E4D5C"/>
    <w:rsid w:val="001E4F80"/>
    <w:rsid w:val="001E6080"/>
    <w:rsid w:val="001E6335"/>
    <w:rsid w:val="001E70A8"/>
    <w:rsid w:val="001E70C9"/>
    <w:rsid w:val="001E7773"/>
    <w:rsid w:val="001E7D2A"/>
    <w:rsid w:val="001F0129"/>
    <w:rsid w:val="001F0C47"/>
    <w:rsid w:val="001F0CD0"/>
    <w:rsid w:val="001F224F"/>
    <w:rsid w:val="001F2458"/>
    <w:rsid w:val="001F2A6A"/>
    <w:rsid w:val="001F34E9"/>
    <w:rsid w:val="001F36D9"/>
    <w:rsid w:val="001F3A1E"/>
    <w:rsid w:val="001F4273"/>
    <w:rsid w:val="001F478F"/>
    <w:rsid w:val="001F513D"/>
    <w:rsid w:val="001F61A3"/>
    <w:rsid w:val="001F6D5A"/>
    <w:rsid w:val="001F7C4A"/>
    <w:rsid w:val="002002F4"/>
    <w:rsid w:val="00200756"/>
    <w:rsid w:val="00201668"/>
    <w:rsid w:val="00202299"/>
    <w:rsid w:val="0020284F"/>
    <w:rsid w:val="00202D37"/>
    <w:rsid w:val="00202DAF"/>
    <w:rsid w:val="002032BD"/>
    <w:rsid w:val="0020393E"/>
    <w:rsid w:val="00204836"/>
    <w:rsid w:val="00204A3F"/>
    <w:rsid w:val="00204F1C"/>
    <w:rsid w:val="00205228"/>
    <w:rsid w:val="0020621C"/>
    <w:rsid w:val="00206499"/>
    <w:rsid w:val="002072BA"/>
    <w:rsid w:val="00207DC2"/>
    <w:rsid w:val="0021012D"/>
    <w:rsid w:val="002107CC"/>
    <w:rsid w:val="00210CC8"/>
    <w:rsid w:val="002118F7"/>
    <w:rsid w:val="002126E2"/>
    <w:rsid w:val="00212911"/>
    <w:rsid w:val="00212D7C"/>
    <w:rsid w:val="00213122"/>
    <w:rsid w:val="002132D7"/>
    <w:rsid w:val="002133DA"/>
    <w:rsid w:val="002136EE"/>
    <w:rsid w:val="00213DEA"/>
    <w:rsid w:val="002142B6"/>
    <w:rsid w:val="00215CAF"/>
    <w:rsid w:val="00215ECA"/>
    <w:rsid w:val="00216992"/>
    <w:rsid w:val="00216D63"/>
    <w:rsid w:val="00216DB8"/>
    <w:rsid w:val="00216E77"/>
    <w:rsid w:val="00217FB3"/>
    <w:rsid w:val="002203C3"/>
    <w:rsid w:val="00220554"/>
    <w:rsid w:val="00220E1B"/>
    <w:rsid w:val="0022230F"/>
    <w:rsid w:val="00222754"/>
    <w:rsid w:val="002229DA"/>
    <w:rsid w:val="00223257"/>
    <w:rsid w:val="0022344E"/>
    <w:rsid w:val="002236FB"/>
    <w:rsid w:val="00224AAE"/>
    <w:rsid w:val="00225E7F"/>
    <w:rsid w:val="00225F1B"/>
    <w:rsid w:val="002262DC"/>
    <w:rsid w:val="00226BDF"/>
    <w:rsid w:val="00226C72"/>
    <w:rsid w:val="00227028"/>
    <w:rsid w:val="00227E16"/>
    <w:rsid w:val="002302CB"/>
    <w:rsid w:val="002303E6"/>
    <w:rsid w:val="002314AB"/>
    <w:rsid w:val="00231619"/>
    <w:rsid w:val="002332A3"/>
    <w:rsid w:val="0023369C"/>
    <w:rsid w:val="00233CEA"/>
    <w:rsid w:val="00234665"/>
    <w:rsid w:val="00234990"/>
    <w:rsid w:val="00234C36"/>
    <w:rsid w:val="00234EA3"/>
    <w:rsid w:val="0023595F"/>
    <w:rsid w:val="00236500"/>
    <w:rsid w:val="00236D93"/>
    <w:rsid w:val="00237D97"/>
    <w:rsid w:val="00240194"/>
    <w:rsid w:val="002402C5"/>
    <w:rsid w:val="002402F2"/>
    <w:rsid w:val="0024063D"/>
    <w:rsid w:val="00240796"/>
    <w:rsid w:val="0024086F"/>
    <w:rsid w:val="00240D18"/>
    <w:rsid w:val="0024113A"/>
    <w:rsid w:val="002415CC"/>
    <w:rsid w:val="002419D8"/>
    <w:rsid w:val="00242426"/>
    <w:rsid w:val="002426B1"/>
    <w:rsid w:val="002435C1"/>
    <w:rsid w:val="0024360A"/>
    <w:rsid w:val="00245F44"/>
    <w:rsid w:val="00246563"/>
    <w:rsid w:val="00246852"/>
    <w:rsid w:val="002469E5"/>
    <w:rsid w:val="00246DB9"/>
    <w:rsid w:val="00246F96"/>
    <w:rsid w:val="0024748D"/>
    <w:rsid w:val="002474E2"/>
    <w:rsid w:val="0025024A"/>
    <w:rsid w:val="0025043F"/>
    <w:rsid w:val="00251E80"/>
    <w:rsid w:val="002523B7"/>
    <w:rsid w:val="00252B47"/>
    <w:rsid w:val="00252DBB"/>
    <w:rsid w:val="00252F5A"/>
    <w:rsid w:val="002546E5"/>
    <w:rsid w:val="00254CCA"/>
    <w:rsid w:val="00254CDB"/>
    <w:rsid w:val="002550A5"/>
    <w:rsid w:val="00255B86"/>
    <w:rsid w:val="00257419"/>
    <w:rsid w:val="002574EE"/>
    <w:rsid w:val="00257567"/>
    <w:rsid w:val="00257A53"/>
    <w:rsid w:val="00260828"/>
    <w:rsid w:val="002618E1"/>
    <w:rsid w:val="002621BA"/>
    <w:rsid w:val="002622EF"/>
    <w:rsid w:val="00262315"/>
    <w:rsid w:val="00262637"/>
    <w:rsid w:val="0026292F"/>
    <w:rsid w:val="00262E73"/>
    <w:rsid w:val="00262F75"/>
    <w:rsid w:val="00263840"/>
    <w:rsid w:val="00263988"/>
    <w:rsid w:val="00264686"/>
    <w:rsid w:val="00264AC7"/>
    <w:rsid w:val="00265BFC"/>
    <w:rsid w:val="00265F7E"/>
    <w:rsid w:val="002668CD"/>
    <w:rsid w:val="00266C21"/>
    <w:rsid w:val="002670D1"/>
    <w:rsid w:val="002677FA"/>
    <w:rsid w:val="0026784D"/>
    <w:rsid w:val="00270390"/>
    <w:rsid w:val="00270A6D"/>
    <w:rsid w:val="00270CFA"/>
    <w:rsid w:val="00270FDB"/>
    <w:rsid w:val="00271019"/>
    <w:rsid w:val="002720D1"/>
    <w:rsid w:val="002722A2"/>
    <w:rsid w:val="00272FE8"/>
    <w:rsid w:val="00273A87"/>
    <w:rsid w:val="00273B9F"/>
    <w:rsid w:val="00274306"/>
    <w:rsid w:val="00274784"/>
    <w:rsid w:val="00274AFF"/>
    <w:rsid w:val="0027619B"/>
    <w:rsid w:val="00276297"/>
    <w:rsid w:val="00276D72"/>
    <w:rsid w:val="00276FCB"/>
    <w:rsid w:val="00277573"/>
    <w:rsid w:val="00277770"/>
    <w:rsid w:val="002778CD"/>
    <w:rsid w:val="00280A97"/>
    <w:rsid w:val="00280B82"/>
    <w:rsid w:val="00280D99"/>
    <w:rsid w:val="00281176"/>
    <w:rsid w:val="0028155F"/>
    <w:rsid w:val="002827EE"/>
    <w:rsid w:val="00283089"/>
    <w:rsid w:val="00283BB8"/>
    <w:rsid w:val="00283BD3"/>
    <w:rsid w:val="0028445E"/>
    <w:rsid w:val="002849E2"/>
    <w:rsid w:val="00284A5E"/>
    <w:rsid w:val="00284CE4"/>
    <w:rsid w:val="0028631D"/>
    <w:rsid w:val="0028664F"/>
    <w:rsid w:val="002869D2"/>
    <w:rsid w:val="00286CA5"/>
    <w:rsid w:val="0028776C"/>
    <w:rsid w:val="00287DE7"/>
    <w:rsid w:val="002901AB"/>
    <w:rsid w:val="00290B46"/>
    <w:rsid w:val="0029147D"/>
    <w:rsid w:val="00292952"/>
    <w:rsid w:val="00292DCD"/>
    <w:rsid w:val="00294041"/>
    <w:rsid w:val="002945BF"/>
    <w:rsid w:val="00294741"/>
    <w:rsid w:val="002949EF"/>
    <w:rsid w:val="00294DA2"/>
    <w:rsid w:val="0029561D"/>
    <w:rsid w:val="00295631"/>
    <w:rsid w:val="00295779"/>
    <w:rsid w:val="00295966"/>
    <w:rsid w:val="00295A43"/>
    <w:rsid w:val="00295E22"/>
    <w:rsid w:val="0029619B"/>
    <w:rsid w:val="00296836"/>
    <w:rsid w:val="00296893"/>
    <w:rsid w:val="00296AEC"/>
    <w:rsid w:val="0029734D"/>
    <w:rsid w:val="0029747A"/>
    <w:rsid w:val="0029753E"/>
    <w:rsid w:val="00297919"/>
    <w:rsid w:val="002A06EC"/>
    <w:rsid w:val="002A1C94"/>
    <w:rsid w:val="002A20F8"/>
    <w:rsid w:val="002A2694"/>
    <w:rsid w:val="002A2831"/>
    <w:rsid w:val="002A2837"/>
    <w:rsid w:val="002A2DBC"/>
    <w:rsid w:val="002A3279"/>
    <w:rsid w:val="002A3455"/>
    <w:rsid w:val="002A3B4C"/>
    <w:rsid w:val="002A44D2"/>
    <w:rsid w:val="002A47E4"/>
    <w:rsid w:val="002A538F"/>
    <w:rsid w:val="002A5A9F"/>
    <w:rsid w:val="002A5ABA"/>
    <w:rsid w:val="002A6C78"/>
    <w:rsid w:val="002A7549"/>
    <w:rsid w:val="002A7C45"/>
    <w:rsid w:val="002B012B"/>
    <w:rsid w:val="002B01F6"/>
    <w:rsid w:val="002B0373"/>
    <w:rsid w:val="002B0477"/>
    <w:rsid w:val="002B19EF"/>
    <w:rsid w:val="002B1BBC"/>
    <w:rsid w:val="002B293C"/>
    <w:rsid w:val="002B324B"/>
    <w:rsid w:val="002B466B"/>
    <w:rsid w:val="002B5759"/>
    <w:rsid w:val="002B5B12"/>
    <w:rsid w:val="002B5BDB"/>
    <w:rsid w:val="002B5CE1"/>
    <w:rsid w:val="002B6326"/>
    <w:rsid w:val="002B648F"/>
    <w:rsid w:val="002B6803"/>
    <w:rsid w:val="002B6E3F"/>
    <w:rsid w:val="002B7068"/>
    <w:rsid w:val="002B7759"/>
    <w:rsid w:val="002B7A86"/>
    <w:rsid w:val="002B7CB9"/>
    <w:rsid w:val="002B7F1A"/>
    <w:rsid w:val="002C003B"/>
    <w:rsid w:val="002C1798"/>
    <w:rsid w:val="002C1E0E"/>
    <w:rsid w:val="002C229A"/>
    <w:rsid w:val="002C25F1"/>
    <w:rsid w:val="002C2890"/>
    <w:rsid w:val="002C2C62"/>
    <w:rsid w:val="002C2FF0"/>
    <w:rsid w:val="002C303A"/>
    <w:rsid w:val="002C40A2"/>
    <w:rsid w:val="002C41F3"/>
    <w:rsid w:val="002C4CD7"/>
    <w:rsid w:val="002C4D8B"/>
    <w:rsid w:val="002C54F2"/>
    <w:rsid w:val="002C590D"/>
    <w:rsid w:val="002C60A4"/>
    <w:rsid w:val="002C679B"/>
    <w:rsid w:val="002C6B57"/>
    <w:rsid w:val="002C6BD3"/>
    <w:rsid w:val="002C718F"/>
    <w:rsid w:val="002C7A49"/>
    <w:rsid w:val="002C7D1D"/>
    <w:rsid w:val="002C7EC5"/>
    <w:rsid w:val="002C7F90"/>
    <w:rsid w:val="002D0008"/>
    <w:rsid w:val="002D0442"/>
    <w:rsid w:val="002D05A3"/>
    <w:rsid w:val="002D060F"/>
    <w:rsid w:val="002D08B6"/>
    <w:rsid w:val="002D0DAA"/>
    <w:rsid w:val="002D147D"/>
    <w:rsid w:val="002D151F"/>
    <w:rsid w:val="002D1E97"/>
    <w:rsid w:val="002D20BE"/>
    <w:rsid w:val="002D2103"/>
    <w:rsid w:val="002D28AA"/>
    <w:rsid w:val="002D2B5C"/>
    <w:rsid w:val="002D2CEB"/>
    <w:rsid w:val="002D2D71"/>
    <w:rsid w:val="002D3595"/>
    <w:rsid w:val="002D383D"/>
    <w:rsid w:val="002D40CF"/>
    <w:rsid w:val="002D40EE"/>
    <w:rsid w:val="002D43B8"/>
    <w:rsid w:val="002D4C4C"/>
    <w:rsid w:val="002D58AF"/>
    <w:rsid w:val="002D59D5"/>
    <w:rsid w:val="002D5DD5"/>
    <w:rsid w:val="002D6E1B"/>
    <w:rsid w:val="002D707B"/>
    <w:rsid w:val="002D766C"/>
    <w:rsid w:val="002D7A88"/>
    <w:rsid w:val="002D7DF2"/>
    <w:rsid w:val="002D7FA2"/>
    <w:rsid w:val="002E0FCC"/>
    <w:rsid w:val="002E0FFA"/>
    <w:rsid w:val="002E2285"/>
    <w:rsid w:val="002E29D5"/>
    <w:rsid w:val="002E326B"/>
    <w:rsid w:val="002E3699"/>
    <w:rsid w:val="002E37BF"/>
    <w:rsid w:val="002E3A00"/>
    <w:rsid w:val="002E3E16"/>
    <w:rsid w:val="002E4CDA"/>
    <w:rsid w:val="002E5436"/>
    <w:rsid w:val="002E5981"/>
    <w:rsid w:val="002E5D4D"/>
    <w:rsid w:val="002E5E13"/>
    <w:rsid w:val="002E5F0E"/>
    <w:rsid w:val="002E60AB"/>
    <w:rsid w:val="002E6315"/>
    <w:rsid w:val="002E7273"/>
    <w:rsid w:val="002E7419"/>
    <w:rsid w:val="002E789E"/>
    <w:rsid w:val="002E78AE"/>
    <w:rsid w:val="002E79A5"/>
    <w:rsid w:val="002F08C9"/>
    <w:rsid w:val="002F0BA0"/>
    <w:rsid w:val="002F0BD5"/>
    <w:rsid w:val="002F0DB4"/>
    <w:rsid w:val="002F1A9D"/>
    <w:rsid w:val="002F1BC0"/>
    <w:rsid w:val="002F1CF0"/>
    <w:rsid w:val="002F203C"/>
    <w:rsid w:val="002F2079"/>
    <w:rsid w:val="002F2C67"/>
    <w:rsid w:val="002F3351"/>
    <w:rsid w:val="002F3847"/>
    <w:rsid w:val="002F3BDA"/>
    <w:rsid w:val="002F3C51"/>
    <w:rsid w:val="002F3D5F"/>
    <w:rsid w:val="002F51AE"/>
    <w:rsid w:val="002F51B6"/>
    <w:rsid w:val="002F59B3"/>
    <w:rsid w:val="002F619B"/>
    <w:rsid w:val="002F6380"/>
    <w:rsid w:val="002F63F0"/>
    <w:rsid w:val="002F6928"/>
    <w:rsid w:val="002F6AE9"/>
    <w:rsid w:val="0030013A"/>
    <w:rsid w:val="0030039C"/>
    <w:rsid w:val="00300B95"/>
    <w:rsid w:val="00300CF0"/>
    <w:rsid w:val="00300EEA"/>
    <w:rsid w:val="003023D6"/>
    <w:rsid w:val="003026D6"/>
    <w:rsid w:val="00302D0E"/>
    <w:rsid w:val="00302D59"/>
    <w:rsid w:val="003037F6"/>
    <w:rsid w:val="00303E68"/>
    <w:rsid w:val="00303F28"/>
    <w:rsid w:val="003044A1"/>
    <w:rsid w:val="0030596F"/>
    <w:rsid w:val="00305F78"/>
    <w:rsid w:val="003063AB"/>
    <w:rsid w:val="0030648D"/>
    <w:rsid w:val="00306658"/>
    <w:rsid w:val="00306813"/>
    <w:rsid w:val="00307414"/>
    <w:rsid w:val="00307CB6"/>
    <w:rsid w:val="00307FC7"/>
    <w:rsid w:val="0031128E"/>
    <w:rsid w:val="003115B8"/>
    <w:rsid w:val="003123AF"/>
    <w:rsid w:val="0031247E"/>
    <w:rsid w:val="00312722"/>
    <w:rsid w:val="00312998"/>
    <w:rsid w:val="00312A16"/>
    <w:rsid w:val="0031432A"/>
    <w:rsid w:val="003147DD"/>
    <w:rsid w:val="00314C3C"/>
    <w:rsid w:val="00315188"/>
    <w:rsid w:val="00315760"/>
    <w:rsid w:val="003158F2"/>
    <w:rsid w:val="00315C32"/>
    <w:rsid w:val="00317589"/>
    <w:rsid w:val="00317686"/>
    <w:rsid w:val="00320A28"/>
    <w:rsid w:val="00320B4E"/>
    <w:rsid w:val="00320D54"/>
    <w:rsid w:val="003210F9"/>
    <w:rsid w:val="003211B5"/>
    <w:rsid w:val="0032156F"/>
    <w:rsid w:val="003216AD"/>
    <w:rsid w:val="00322D47"/>
    <w:rsid w:val="00322E9F"/>
    <w:rsid w:val="0032352F"/>
    <w:rsid w:val="003235EE"/>
    <w:rsid w:val="00323E1B"/>
    <w:rsid w:val="003241BB"/>
    <w:rsid w:val="003244F9"/>
    <w:rsid w:val="00324525"/>
    <w:rsid w:val="00324F60"/>
    <w:rsid w:val="0032564C"/>
    <w:rsid w:val="00325E1B"/>
    <w:rsid w:val="00325F48"/>
    <w:rsid w:val="00326502"/>
    <w:rsid w:val="003269C4"/>
    <w:rsid w:val="00327024"/>
    <w:rsid w:val="003270B3"/>
    <w:rsid w:val="00327504"/>
    <w:rsid w:val="003276BF"/>
    <w:rsid w:val="0032797F"/>
    <w:rsid w:val="00327BA1"/>
    <w:rsid w:val="00330A43"/>
    <w:rsid w:val="003310B1"/>
    <w:rsid w:val="003316A2"/>
    <w:rsid w:val="0033197E"/>
    <w:rsid w:val="0033244C"/>
    <w:rsid w:val="0033285D"/>
    <w:rsid w:val="00332C2F"/>
    <w:rsid w:val="00333564"/>
    <w:rsid w:val="00333FCB"/>
    <w:rsid w:val="00334215"/>
    <w:rsid w:val="0033532C"/>
    <w:rsid w:val="0033590A"/>
    <w:rsid w:val="00335F7E"/>
    <w:rsid w:val="003366BC"/>
    <w:rsid w:val="00336AB9"/>
    <w:rsid w:val="00337140"/>
    <w:rsid w:val="00337A99"/>
    <w:rsid w:val="00337E52"/>
    <w:rsid w:val="0034001F"/>
    <w:rsid w:val="00341357"/>
    <w:rsid w:val="00342989"/>
    <w:rsid w:val="0034326D"/>
    <w:rsid w:val="003433F5"/>
    <w:rsid w:val="003444C9"/>
    <w:rsid w:val="00344A96"/>
    <w:rsid w:val="00344A9C"/>
    <w:rsid w:val="00344EEC"/>
    <w:rsid w:val="003452C7"/>
    <w:rsid w:val="00345710"/>
    <w:rsid w:val="00346366"/>
    <w:rsid w:val="003464AA"/>
    <w:rsid w:val="0034731A"/>
    <w:rsid w:val="00347852"/>
    <w:rsid w:val="003505DF"/>
    <w:rsid w:val="00350F32"/>
    <w:rsid w:val="003518B3"/>
    <w:rsid w:val="00351DD5"/>
    <w:rsid w:val="0035273B"/>
    <w:rsid w:val="00353386"/>
    <w:rsid w:val="003536F5"/>
    <w:rsid w:val="00353808"/>
    <w:rsid w:val="003539DF"/>
    <w:rsid w:val="00354117"/>
    <w:rsid w:val="00354321"/>
    <w:rsid w:val="00356623"/>
    <w:rsid w:val="003568CA"/>
    <w:rsid w:val="00356DDC"/>
    <w:rsid w:val="00356E74"/>
    <w:rsid w:val="00357399"/>
    <w:rsid w:val="00357655"/>
    <w:rsid w:val="00360F08"/>
    <w:rsid w:val="0036124B"/>
    <w:rsid w:val="00361455"/>
    <w:rsid w:val="00361460"/>
    <w:rsid w:val="00361509"/>
    <w:rsid w:val="00361563"/>
    <w:rsid w:val="00361743"/>
    <w:rsid w:val="00361ED8"/>
    <w:rsid w:val="003623B4"/>
    <w:rsid w:val="00362451"/>
    <w:rsid w:val="00363DCB"/>
    <w:rsid w:val="0036451D"/>
    <w:rsid w:val="003647F2"/>
    <w:rsid w:val="00364931"/>
    <w:rsid w:val="00365072"/>
    <w:rsid w:val="0036511A"/>
    <w:rsid w:val="00365588"/>
    <w:rsid w:val="00365616"/>
    <w:rsid w:val="00366680"/>
    <w:rsid w:val="00366808"/>
    <w:rsid w:val="00366968"/>
    <w:rsid w:val="00367007"/>
    <w:rsid w:val="00367705"/>
    <w:rsid w:val="00367817"/>
    <w:rsid w:val="00371B43"/>
    <w:rsid w:val="00372843"/>
    <w:rsid w:val="003729E1"/>
    <w:rsid w:val="00372A95"/>
    <w:rsid w:val="00372F34"/>
    <w:rsid w:val="0037318B"/>
    <w:rsid w:val="003739A4"/>
    <w:rsid w:val="00373D21"/>
    <w:rsid w:val="00374486"/>
    <w:rsid w:val="00375449"/>
    <w:rsid w:val="00375B74"/>
    <w:rsid w:val="00375E32"/>
    <w:rsid w:val="00376579"/>
    <w:rsid w:val="003766A8"/>
    <w:rsid w:val="00376A8C"/>
    <w:rsid w:val="00376B49"/>
    <w:rsid w:val="00376D55"/>
    <w:rsid w:val="00376D71"/>
    <w:rsid w:val="00376F28"/>
    <w:rsid w:val="00380074"/>
    <w:rsid w:val="003809F6"/>
    <w:rsid w:val="00381D82"/>
    <w:rsid w:val="003830B4"/>
    <w:rsid w:val="00383A7E"/>
    <w:rsid w:val="00383ECB"/>
    <w:rsid w:val="00384207"/>
    <w:rsid w:val="00385674"/>
    <w:rsid w:val="0038589C"/>
    <w:rsid w:val="0038613F"/>
    <w:rsid w:val="003866DF"/>
    <w:rsid w:val="0038678E"/>
    <w:rsid w:val="00386950"/>
    <w:rsid w:val="00387466"/>
    <w:rsid w:val="00387837"/>
    <w:rsid w:val="00387A17"/>
    <w:rsid w:val="003906E0"/>
    <w:rsid w:val="00390D74"/>
    <w:rsid w:val="0039185A"/>
    <w:rsid w:val="00391E18"/>
    <w:rsid w:val="00391F1D"/>
    <w:rsid w:val="003922FF"/>
    <w:rsid w:val="00392FEA"/>
    <w:rsid w:val="003932E5"/>
    <w:rsid w:val="00393B67"/>
    <w:rsid w:val="00393E88"/>
    <w:rsid w:val="00393F82"/>
    <w:rsid w:val="0039488B"/>
    <w:rsid w:val="003953D1"/>
    <w:rsid w:val="00395C95"/>
    <w:rsid w:val="0039657F"/>
    <w:rsid w:val="00397738"/>
    <w:rsid w:val="00397CB6"/>
    <w:rsid w:val="00397DC2"/>
    <w:rsid w:val="00397E65"/>
    <w:rsid w:val="00397E73"/>
    <w:rsid w:val="003A0984"/>
    <w:rsid w:val="003A0A26"/>
    <w:rsid w:val="003A0B18"/>
    <w:rsid w:val="003A1074"/>
    <w:rsid w:val="003A1A8C"/>
    <w:rsid w:val="003A1C98"/>
    <w:rsid w:val="003A2EFD"/>
    <w:rsid w:val="003A3964"/>
    <w:rsid w:val="003A4038"/>
    <w:rsid w:val="003A42DF"/>
    <w:rsid w:val="003A46D1"/>
    <w:rsid w:val="003A4D14"/>
    <w:rsid w:val="003A587D"/>
    <w:rsid w:val="003A5AFE"/>
    <w:rsid w:val="003A6D23"/>
    <w:rsid w:val="003A6E57"/>
    <w:rsid w:val="003A716A"/>
    <w:rsid w:val="003A722A"/>
    <w:rsid w:val="003A74A8"/>
    <w:rsid w:val="003A7753"/>
    <w:rsid w:val="003A785C"/>
    <w:rsid w:val="003B02C6"/>
    <w:rsid w:val="003B0AAC"/>
    <w:rsid w:val="003B0B89"/>
    <w:rsid w:val="003B0BC3"/>
    <w:rsid w:val="003B0FA7"/>
    <w:rsid w:val="003B1031"/>
    <w:rsid w:val="003B1B38"/>
    <w:rsid w:val="003B1DCC"/>
    <w:rsid w:val="003B26FB"/>
    <w:rsid w:val="003B2EFA"/>
    <w:rsid w:val="003B2FD9"/>
    <w:rsid w:val="003B41EC"/>
    <w:rsid w:val="003B5459"/>
    <w:rsid w:val="003B5B22"/>
    <w:rsid w:val="003B6025"/>
    <w:rsid w:val="003B67B8"/>
    <w:rsid w:val="003B6A6D"/>
    <w:rsid w:val="003B73F1"/>
    <w:rsid w:val="003B75FB"/>
    <w:rsid w:val="003B7746"/>
    <w:rsid w:val="003B78B0"/>
    <w:rsid w:val="003B7FBD"/>
    <w:rsid w:val="003C0356"/>
    <w:rsid w:val="003C07C9"/>
    <w:rsid w:val="003C0BEE"/>
    <w:rsid w:val="003C1BAC"/>
    <w:rsid w:val="003C22A2"/>
    <w:rsid w:val="003C2459"/>
    <w:rsid w:val="003C3139"/>
    <w:rsid w:val="003C3690"/>
    <w:rsid w:val="003C3D77"/>
    <w:rsid w:val="003C3F57"/>
    <w:rsid w:val="003C5357"/>
    <w:rsid w:val="003C608B"/>
    <w:rsid w:val="003C6F84"/>
    <w:rsid w:val="003C7033"/>
    <w:rsid w:val="003C791D"/>
    <w:rsid w:val="003C7B4A"/>
    <w:rsid w:val="003C7E24"/>
    <w:rsid w:val="003D00C5"/>
    <w:rsid w:val="003D0AF8"/>
    <w:rsid w:val="003D0FE8"/>
    <w:rsid w:val="003D1B6D"/>
    <w:rsid w:val="003D2478"/>
    <w:rsid w:val="003D2FC0"/>
    <w:rsid w:val="003D3490"/>
    <w:rsid w:val="003D3F21"/>
    <w:rsid w:val="003D43C1"/>
    <w:rsid w:val="003D4651"/>
    <w:rsid w:val="003D46DD"/>
    <w:rsid w:val="003D4F93"/>
    <w:rsid w:val="003D62EC"/>
    <w:rsid w:val="003D6B1D"/>
    <w:rsid w:val="003D707C"/>
    <w:rsid w:val="003D76E6"/>
    <w:rsid w:val="003D774F"/>
    <w:rsid w:val="003E0391"/>
    <w:rsid w:val="003E064F"/>
    <w:rsid w:val="003E0C1F"/>
    <w:rsid w:val="003E0CC2"/>
    <w:rsid w:val="003E1506"/>
    <w:rsid w:val="003E1699"/>
    <w:rsid w:val="003E1C9E"/>
    <w:rsid w:val="003E1F52"/>
    <w:rsid w:val="003E220E"/>
    <w:rsid w:val="003E278E"/>
    <w:rsid w:val="003E2821"/>
    <w:rsid w:val="003E2ADB"/>
    <w:rsid w:val="003E2B06"/>
    <w:rsid w:val="003E2D3F"/>
    <w:rsid w:val="003E3403"/>
    <w:rsid w:val="003E4005"/>
    <w:rsid w:val="003E4099"/>
    <w:rsid w:val="003E460C"/>
    <w:rsid w:val="003E4E49"/>
    <w:rsid w:val="003E5611"/>
    <w:rsid w:val="003E59D5"/>
    <w:rsid w:val="003E59EC"/>
    <w:rsid w:val="003E5A4E"/>
    <w:rsid w:val="003E5AE3"/>
    <w:rsid w:val="003E5FEA"/>
    <w:rsid w:val="003E61FA"/>
    <w:rsid w:val="003E63D3"/>
    <w:rsid w:val="003E6674"/>
    <w:rsid w:val="003E72B6"/>
    <w:rsid w:val="003E7A13"/>
    <w:rsid w:val="003E7D7F"/>
    <w:rsid w:val="003F00CA"/>
    <w:rsid w:val="003F0CE7"/>
    <w:rsid w:val="003F185C"/>
    <w:rsid w:val="003F18F7"/>
    <w:rsid w:val="003F2042"/>
    <w:rsid w:val="003F29D7"/>
    <w:rsid w:val="003F30E1"/>
    <w:rsid w:val="003F43D2"/>
    <w:rsid w:val="003F45AF"/>
    <w:rsid w:val="003F46B2"/>
    <w:rsid w:val="003F493E"/>
    <w:rsid w:val="003F520D"/>
    <w:rsid w:val="003F60A6"/>
    <w:rsid w:val="003F60D6"/>
    <w:rsid w:val="003F6782"/>
    <w:rsid w:val="003F68D3"/>
    <w:rsid w:val="003F6E93"/>
    <w:rsid w:val="003F6F29"/>
    <w:rsid w:val="003F73ED"/>
    <w:rsid w:val="003F7BEF"/>
    <w:rsid w:val="004003F3"/>
    <w:rsid w:val="00401A46"/>
    <w:rsid w:val="00401E6A"/>
    <w:rsid w:val="00402912"/>
    <w:rsid w:val="0040309D"/>
    <w:rsid w:val="00403C5D"/>
    <w:rsid w:val="004042BC"/>
    <w:rsid w:val="00404592"/>
    <w:rsid w:val="00404825"/>
    <w:rsid w:val="00405AEF"/>
    <w:rsid w:val="00406121"/>
    <w:rsid w:val="00406365"/>
    <w:rsid w:val="004069C4"/>
    <w:rsid w:val="00407625"/>
    <w:rsid w:val="00410027"/>
    <w:rsid w:val="00411C8F"/>
    <w:rsid w:val="00411ED7"/>
    <w:rsid w:val="00412ABC"/>
    <w:rsid w:val="00413A99"/>
    <w:rsid w:val="00413E09"/>
    <w:rsid w:val="00413E38"/>
    <w:rsid w:val="004148CB"/>
    <w:rsid w:val="00414B35"/>
    <w:rsid w:val="0041597A"/>
    <w:rsid w:val="0041611E"/>
    <w:rsid w:val="00416684"/>
    <w:rsid w:val="00417459"/>
    <w:rsid w:val="004175BB"/>
    <w:rsid w:val="00417759"/>
    <w:rsid w:val="00417A61"/>
    <w:rsid w:val="00417D19"/>
    <w:rsid w:val="00420D44"/>
    <w:rsid w:val="0042111B"/>
    <w:rsid w:val="0042118A"/>
    <w:rsid w:val="0042187F"/>
    <w:rsid w:val="00421C25"/>
    <w:rsid w:val="00422193"/>
    <w:rsid w:val="0042244C"/>
    <w:rsid w:val="004226E4"/>
    <w:rsid w:val="00422C78"/>
    <w:rsid w:val="00422FA6"/>
    <w:rsid w:val="00423EDC"/>
    <w:rsid w:val="004241E7"/>
    <w:rsid w:val="00424F82"/>
    <w:rsid w:val="0042506F"/>
    <w:rsid w:val="004254F3"/>
    <w:rsid w:val="00426220"/>
    <w:rsid w:val="0042653F"/>
    <w:rsid w:val="0042728C"/>
    <w:rsid w:val="00427971"/>
    <w:rsid w:val="00427C74"/>
    <w:rsid w:val="00427D68"/>
    <w:rsid w:val="004300B0"/>
    <w:rsid w:val="00431528"/>
    <w:rsid w:val="00432514"/>
    <w:rsid w:val="0043296F"/>
    <w:rsid w:val="00433890"/>
    <w:rsid w:val="00433E61"/>
    <w:rsid w:val="00434E65"/>
    <w:rsid w:val="00435351"/>
    <w:rsid w:val="0043581E"/>
    <w:rsid w:val="0043585E"/>
    <w:rsid w:val="00435CC3"/>
    <w:rsid w:val="00436482"/>
    <w:rsid w:val="00437049"/>
    <w:rsid w:val="004371CA"/>
    <w:rsid w:val="004378D4"/>
    <w:rsid w:val="00437C40"/>
    <w:rsid w:val="004400EC"/>
    <w:rsid w:val="00440159"/>
    <w:rsid w:val="004405F5"/>
    <w:rsid w:val="00440BB1"/>
    <w:rsid w:val="00440CEC"/>
    <w:rsid w:val="00441735"/>
    <w:rsid w:val="0044204A"/>
    <w:rsid w:val="0044235F"/>
    <w:rsid w:val="0044278D"/>
    <w:rsid w:val="004430CF"/>
    <w:rsid w:val="004436D0"/>
    <w:rsid w:val="00443AEC"/>
    <w:rsid w:val="0044446E"/>
    <w:rsid w:val="004445F2"/>
    <w:rsid w:val="00444DC1"/>
    <w:rsid w:val="00444E7B"/>
    <w:rsid w:val="0044540A"/>
    <w:rsid w:val="0044560C"/>
    <w:rsid w:val="00445BC4"/>
    <w:rsid w:val="0044609F"/>
    <w:rsid w:val="00450BFC"/>
    <w:rsid w:val="0045168F"/>
    <w:rsid w:val="00451CFF"/>
    <w:rsid w:val="00451E49"/>
    <w:rsid w:val="00452E57"/>
    <w:rsid w:val="00453096"/>
    <w:rsid w:val="004540E4"/>
    <w:rsid w:val="0045431F"/>
    <w:rsid w:val="004545F7"/>
    <w:rsid w:val="00455771"/>
    <w:rsid w:val="00455A08"/>
    <w:rsid w:val="00455B7D"/>
    <w:rsid w:val="00455BEA"/>
    <w:rsid w:val="00455DC5"/>
    <w:rsid w:val="00456185"/>
    <w:rsid w:val="004561F7"/>
    <w:rsid w:val="004566B8"/>
    <w:rsid w:val="0045672D"/>
    <w:rsid w:val="00456D5A"/>
    <w:rsid w:val="00457522"/>
    <w:rsid w:val="00460826"/>
    <w:rsid w:val="004618ED"/>
    <w:rsid w:val="00461AB8"/>
    <w:rsid w:val="00461D75"/>
    <w:rsid w:val="00462251"/>
    <w:rsid w:val="00462BBC"/>
    <w:rsid w:val="00462C76"/>
    <w:rsid w:val="00462E77"/>
    <w:rsid w:val="004632DC"/>
    <w:rsid w:val="004633F0"/>
    <w:rsid w:val="00463533"/>
    <w:rsid w:val="0046365E"/>
    <w:rsid w:val="00463690"/>
    <w:rsid w:val="00463732"/>
    <w:rsid w:val="00463B2D"/>
    <w:rsid w:val="00463DE1"/>
    <w:rsid w:val="00463FB8"/>
    <w:rsid w:val="0046478F"/>
    <w:rsid w:val="00466106"/>
    <w:rsid w:val="004664F1"/>
    <w:rsid w:val="00466DD8"/>
    <w:rsid w:val="00466E38"/>
    <w:rsid w:val="00466EF7"/>
    <w:rsid w:val="00467806"/>
    <w:rsid w:val="00470041"/>
    <w:rsid w:val="00470A09"/>
    <w:rsid w:val="004713E3"/>
    <w:rsid w:val="00471801"/>
    <w:rsid w:val="00471950"/>
    <w:rsid w:val="00471A28"/>
    <w:rsid w:val="00471C83"/>
    <w:rsid w:val="00471D75"/>
    <w:rsid w:val="00471F64"/>
    <w:rsid w:val="00472C42"/>
    <w:rsid w:val="00473FF1"/>
    <w:rsid w:val="004740A3"/>
    <w:rsid w:val="00474758"/>
    <w:rsid w:val="00475559"/>
    <w:rsid w:val="00475813"/>
    <w:rsid w:val="00475C75"/>
    <w:rsid w:val="00475EF2"/>
    <w:rsid w:val="00476127"/>
    <w:rsid w:val="00476FF3"/>
    <w:rsid w:val="0048032A"/>
    <w:rsid w:val="00480EA3"/>
    <w:rsid w:val="00481041"/>
    <w:rsid w:val="00481742"/>
    <w:rsid w:val="00481E9D"/>
    <w:rsid w:val="00481F33"/>
    <w:rsid w:val="004820BF"/>
    <w:rsid w:val="004823AA"/>
    <w:rsid w:val="0048325B"/>
    <w:rsid w:val="004836EA"/>
    <w:rsid w:val="00483912"/>
    <w:rsid w:val="0048464E"/>
    <w:rsid w:val="00484EE9"/>
    <w:rsid w:val="004854DB"/>
    <w:rsid w:val="00486336"/>
    <w:rsid w:val="0048647F"/>
    <w:rsid w:val="0048662E"/>
    <w:rsid w:val="004866BB"/>
    <w:rsid w:val="00486D55"/>
    <w:rsid w:val="00486D93"/>
    <w:rsid w:val="00487214"/>
    <w:rsid w:val="00487A2F"/>
    <w:rsid w:val="004900C3"/>
    <w:rsid w:val="004902F9"/>
    <w:rsid w:val="004903DE"/>
    <w:rsid w:val="00490561"/>
    <w:rsid w:val="00490685"/>
    <w:rsid w:val="004911D8"/>
    <w:rsid w:val="00491230"/>
    <w:rsid w:val="00491793"/>
    <w:rsid w:val="00492635"/>
    <w:rsid w:val="004927D8"/>
    <w:rsid w:val="0049298C"/>
    <w:rsid w:val="00492AE3"/>
    <w:rsid w:val="00492E14"/>
    <w:rsid w:val="00494113"/>
    <w:rsid w:val="00494189"/>
    <w:rsid w:val="004943B4"/>
    <w:rsid w:val="00494C8F"/>
    <w:rsid w:val="00494DE5"/>
    <w:rsid w:val="00495574"/>
    <w:rsid w:val="004955E6"/>
    <w:rsid w:val="004955F6"/>
    <w:rsid w:val="0049606F"/>
    <w:rsid w:val="00497377"/>
    <w:rsid w:val="004976B0"/>
    <w:rsid w:val="004A011C"/>
    <w:rsid w:val="004A040E"/>
    <w:rsid w:val="004A0ACC"/>
    <w:rsid w:val="004A10EC"/>
    <w:rsid w:val="004A11D3"/>
    <w:rsid w:val="004A12D1"/>
    <w:rsid w:val="004A15AA"/>
    <w:rsid w:val="004A1E09"/>
    <w:rsid w:val="004A2016"/>
    <w:rsid w:val="004A25BC"/>
    <w:rsid w:val="004A25DA"/>
    <w:rsid w:val="004A28A0"/>
    <w:rsid w:val="004A31AE"/>
    <w:rsid w:val="004A31BE"/>
    <w:rsid w:val="004A3B83"/>
    <w:rsid w:val="004A3E45"/>
    <w:rsid w:val="004A4467"/>
    <w:rsid w:val="004A5F23"/>
    <w:rsid w:val="004A5FEF"/>
    <w:rsid w:val="004A6534"/>
    <w:rsid w:val="004A6AA4"/>
    <w:rsid w:val="004A6C1B"/>
    <w:rsid w:val="004A7E63"/>
    <w:rsid w:val="004B026A"/>
    <w:rsid w:val="004B026B"/>
    <w:rsid w:val="004B0A3E"/>
    <w:rsid w:val="004B0CF2"/>
    <w:rsid w:val="004B0D29"/>
    <w:rsid w:val="004B0F9C"/>
    <w:rsid w:val="004B1202"/>
    <w:rsid w:val="004B126B"/>
    <w:rsid w:val="004B1B19"/>
    <w:rsid w:val="004B1DE7"/>
    <w:rsid w:val="004B211E"/>
    <w:rsid w:val="004B21E1"/>
    <w:rsid w:val="004B2B71"/>
    <w:rsid w:val="004B3901"/>
    <w:rsid w:val="004B3AED"/>
    <w:rsid w:val="004B40E2"/>
    <w:rsid w:val="004B4354"/>
    <w:rsid w:val="004B45A9"/>
    <w:rsid w:val="004B48EE"/>
    <w:rsid w:val="004B4CDD"/>
    <w:rsid w:val="004B504D"/>
    <w:rsid w:val="004B51EE"/>
    <w:rsid w:val="004B5708"/>
    <w:rsid w:val="004B586A"/>
    <w:rsid w:val="004B5BB5"/>
    <w:rsid w:val="004B60D9"/>
    <w:rsid w:val="004B6439"/>
    <w:rsid w:val="004B6E6E"/>
    <w:rsid w:val="004B7684"/>
    <w:rsid w:val="004B772A"/>
    <w:rsid w:val="004B77FF"/>
    <w:rsid w:val="004B7D17"/>
    <w:rsid w:val="004B7DD8"/>
    <w:rsid w:val="004C06DA"/>
    <w:rsid w:val="004C0729"/>
    <w:rsid w:val="004C13AE"/>
    <w:rsid w:val="004C2259"/>
    <w:rsid w:val="004C2360"/>
    <w:rsid w:val="004C23AC"/>
    <w:rsid w:val="004C2C3C"/>
    <w:rsid w:val="004C2C58"/>
    <w:rsid w:val="004C3641"/>
    <w:rsid w:val="004C3787"/>
    <w:rsid w:val="004C55C1"/>
    <w:rsid w:val="004C5B54"/>
    <w:rsid w:val="004C6038"/>
    <w:rsid w:val="004C618B"/>
    <w:rsid w:val="004C625D"/>
    <w:rsid w:val="004C639A"/>
    <w:rsid w:val="004C651F"/>
    <w:rsid w:val="004C6817"/>
    <w:rsid w:val="004C6826"/>
    <w:rsid w:val="004C7264"/>
    <w:rsid w:val="004C7E2E"/>
    <w:rsid w:val="004D1B72"/>
    <w:rsid w:val="004D27C3"/>
    <w:rsid w:val="004D2C59"/>
    <w:rsid w:val="004D469F"/>
    <w:rsid w:val="004D4AD8"/>
    <w:rsid w:val="004D4B8C"/>
    <w:rsid w:val="004D4F67"/>
    <w:rsid w:val="004D52AB"/>
    <w:rsid w:val="004D561C"/>
    <w:rsid w:val="004D5639"/>
    <w:rsid w:val="004D595F"/>
    <w:rsid w:val="004D5F0C"/>
    <w:rsid w:val="004D6096"/>
    <w:rsid w:val="004D6304"/>
    <w:rsid w:val="004D66DB"/>
    <w:rsid w:val="004D67E8"/>
    <w:rsid w:val="004D690D"/>
    <w:rsid w:val="004D6BBB"/>
    <w:rsid w:val="004D7597"/>
    <w:rsid w:val="004E1226"/>
    <w:rsid w:val="004E22A4"/>
    <w:rsid w:val="004E25B5"/>
    <w:rsid w:val="004E28A2"/>
    <w:rsid w:val="004E2903"/>
    <w:rsid w:val="004E29C3"/>
    <w:rsid w:val="004E2EDB"/>
    <w:rsid w:val="004E3A6D"/>
    <w:rsid w:val="004E3ABA"/>
    <w:rsid w:val="004E3D9B"/>
    <w:rsid w:val="004E47A4"/>
    <w:rsid w:val="004E57D9"/>
    <w:rsid w:val="004E58CB"/>
    <w:rsid w:val="004E5B1A"/>
    <w:rsid w:val="004E6128"/>
    <w:rsid w:val="004E790B"/>
    <w:rsid w:val="004F01C1"/>
    <w:rsid w:val="004F11C4"/>
    <w:rsid w:val="004F18A8"/>
    <w:rsid w:val="004F1BB5"/>
    <w:rsid w:val="004F26F2"/>
    <w:rsid w:val="004F397F"/>
    <w:rsid w:val="004F4587"/>
    <w:rsid w:val="004F4645"/>
    <w:rsid w:val="004F505E"/>
    <w:rsid w:val="004F55B6"/>
    <w:rsid w:val="004F5AC1"/>
    <w:rsid w:val="004F5B43"/>
    <w:rsid w:val="004F68E3"/>
    <w:rsid w:val="004F695C"/>
    <w:rsid w:val="004F7C3E"/>
    <w:rsid w:val="00501E7A"/>
    <w:rsid w:val="00501EE7"/>
    <w:rsid w:val="0050213B"/>
    <w:rsid w:val="00502860"/>
    <w:rsid w:val="005029E2"/>
    <w:rsid w:val="00502C06"/>
    <w:rsid w:val="005039BE"/>
    <w:rsid w:val="005041DE"/>
    <w:rsid w:val="00504A18"/>
    <w:rsid w:val="00504D1C"/>
    <w:rsid w:val="0050550F"/>
    <w:rsid w:val="005058FC"/>
    <w:rsid w:val="005071BB"/>
    <w:rsid w:val="005075F8"/>
    <w:rsid w:val="005105A8"/>
    <w:rsid w:val="005112CB"/>
    <w:rsid w:val="00511802"/>
    <w:rsid w:val="00511E99"/>
    <w:rsid w:val="005123A9"/>
    <w:rsid w:val="00512466"/>
    <w:rsid w:val="00512E6E"/>
    <w:rsid w:val="0051329F"/>
    <w:rsid w:val="00513622"/>
    <w:rsid w:val="00513937"/>
    <w:rsid w:val="00513E6F"/>
    <w:rsid w:val="00513EFB"/>
    <w:rsid w:val="005149E2"/>
    <w:rsid w:val="00515009"/>
    <w:rsid w:val="0051519A"/>
    <w:rsid w:val="00516D43"/>
    <w:rsid w:val="005177B7"/>
    <w:rsid w:val="0052011D"/>
    <w:rsid w:val="0052014F"/>
    <w:rsid w:val="00520D5E"/>
    <w:rsid w:val="00520E60"/>
    <w:rsid w:val="005210ED"/>
    <w:rsid w:val="00522C48"/>
    <w:rsid w:val="00523496"/>
    <w:rsid w:val="00523AE6"/>
    <w:rsid w:val="0052470F"/>
    <w:rsid w:val="00524879"/>
    <w:rsid w:val="00524ED5"/>
    <w:rsid w:val="00525755"/>
    <w:rsid w:val="00526FE4"/>
    <w:rsid w:val="00527443"/>
    <w:rsid w:val="00527692"/>
    <w:rsid w:val="00527AED"/>
    <w:rsid w:val="00527C1B"/>
    <w:rsid w:val="00532715"/>
    <w:rsid w:val="00532785"/>
    <w:rsid w:val="00532E17"/>
    <w:rsid w:val="005330E5"/>
    <w:rsid w:val="0053391B"/>
    <w:rsid w:val="00533F35"/>
    <w:rsid w:val="00533FEC"/>
    <w:rsid w:val="005347BD"/>
    <w:rsid w:val="00534A0D"/>
    <w:rsid w:val="00535C63"/>
    <w:rsid w:val="00536553"/>
    <w:rsid w:val="0053684A"/>
    <w:rsid w:val="00536C53"/>
    <w:rsid w:val="00536FAE"/>
    <w:rsid w:val="0053717A"/>
    <w:rsid w:val="00540D03"/>
    <w:rsid w:val="005410CB"/>
    <w:rsid w:val="00541FF4"/>
    <w:rsid w:val="0054249D"/>
    <w:rsid w:val="005438AC"/>
    <w:rsid w:val="00544ABA"/>
    <w:rsid w:val="00545245"/>
    <w:rsid w:val="005454C1"/>
    <w:rsid w:val="00545A32"/>
    <w:rsid w:val="00545F6A"/>
    <w:rsid w:val="00546465"/>
    <w:rsid w:val="00546B84"/>
    <w:rsid w:val="00546D27"/>
    <w:rsid w:val="005471E0"/>
    <w:rsid w:val="00547653"/>
    <w:rsid w:val="00547727"/>
    <w:rsid w:val="005505C6"/>
    <w:rsid w:val="005505DD"/>
    <w:rsid w:val="00550FAA"/>
    <w:rsid w:val="0055111A"/>
    <w:rsid w:val="00551635"/>
    <w:rsid w:val="005524B2"/>
    <w:rsid w:val="00552AE2"/>
    <w:rsid w:val="00552C57"/>
    <w:rsid w:val="00554F71"/>
    <w:rsid w:val="005550AB"/>
    <w:rsid w:val="0055510B"/>
    <w:rsid w:val="005551A2"/>
    <w:rsid w:val="00555465"/>
    <w:rsid w:val="00555887"/>
    <w:rsid w:val="00556313"/>
    <w:rsid w:val="0055656F"/>
    <w:rsid w:val="00556921"/>
    <w:rsid w:val="00556C1F"/>
    <w:rsid w:val="00556D07"/>
    <w:rsid w:val="005577D8"/>
    <w:rsid w:val="0056081F"/>
    <w:rsid w:val="00560F3E"/>
    <w:rsid w:val="00561042"/>
    <w:rsid w:val="00561B93"/>
    <w:rsid w:val="00561E31"/>
    <w:rsid w:val="00562245"/>
    <w:rsid w:val="00563324"/>
    <w:rsid w:val="00563C48"/>
    <w:rsid w:val="005651E7"/>
    <w:rsid w:val="00565FB5"/>
    <w:rsid w:val="005667E8"/>
    <w:rsid w:val="00566851"/>
    <w:rsid w:val="00566A31"/>
    <w:rsid w:val="005674EE"/>
    <w:rsid w:val="00567B15"/>
    <w:rsid w:val="00570265"/>
    <w:rsid w:val="005706EE"/>
    <w:rsid w:val="005707F0"/>
    <w:rsid w:val="00570AC1"/>
    <w:rsid w:val="00570B2F"/>
    <w:rsid w:val="00570B66"/>
    <w:rsid w:val="005718AD"/>
    <w:rsid w:val="00571935"/>
    <w:rsid w:val="00571E2A"/>
    <w:rsid w:val="00571F6D"/>
    <w:rsid w:val="00572392"/>
    <w:rsid w:val="0057247F"/>
    <w:rsid w:val="00572F82"/>
    <w:rsid w:val="00573EA2"/>
    <w:rsid w:val="0057422F"/>
    <w:rsid w:val="005762EA"/>
    <w:rsid w:val="005764AA"/>
    <w:rsid w:val="00576730"/>
    <w:rsid w:val="005774FD"/>
    <w:rsid w:val="00577C33"/>
    <w:rsid w:val="005800C1"/>
    <w:rsid w:val="00580997"/>
    <w:rsid w:val="005812B1"/>
    <w:rsid w:val="0058134F"/>
    <w:rsid w:val="0058195D"/>
    <w:rsid w:val="00582B03"/>
    <w:rsid w:val="00583095"/>
    <w:rsid w:val="00583313"/>
    <w:rsid w:val="00583593"/>
    <w:rsid w:val="005837DA"/>
    <w:rsid w:val="00584124"/>
    <w:rsid w:val="00584730"/>
    <w:rsid w:val="00585DDE"/>
    <w:rsid w:val="00587985"/>
    <w:rsid w:val="00587D94"/>
    <w:rsid w:val="00590058"/>
    <w:rsid w:val="00590138"/>
    <w:rsid w:val="005908AE"/>
    <w:rsid w:val="00590B4E"/>
    <w:rsid w:val="00591302"/>
    <w:rsid w:val="0059135C"/>
    <w:rsid w:val="005915A9"/>
    <w:rsid w:val="00592B71"/>
    <w:rsid w:val="00592BCB"/>
    <w:rsid w:val="005939A9"/>
    <w:rsid w:val="00594068"/>
    <w:rsid w:val="005940DB"/>
    <w:rsid w:val="005955FC"/>
    <w:rsid w:val="00595B47"/>
    <w:rsid w:val="005964F1"/>
    <w:rsid w:val="0059679C"/>
    <w:rsid w:val="005968F0"/>
    <w:rsid w:val="00596975"/>
    <w:rsid w:val="00597B4D"/>
    <w:rsid w:val="00597FBB"/>
    <w:rsid w:val="005A086D"/>
    <w:rsid w:val="005A0F31"/>
    <w:rsid w:val="005A10E5"/>
    <w:rsid w:val="005A17F2"/>
    <w:rsid w:val="005A2882"/>
    <w:rsid w:val="005A295A"/>
    <w:rsid w:val="005A30C2"/>
    <w:rsid w:val="005A4572"/>
    <w:rsid w:val="005A45A3"/>
    <w:rsid w:val="005A6507"/>
    <w:rsid w:val="005A6594"/>
    <w:rsid w:val="005A67FB"/>
    <w:rsid w:val="005A7178"/>
    <w:rsid w:val="005A767D"/>
    <w:rsid w:val="005A7814"/>
    <w:rsid w:val="005A7AA0"/>
    <w:rsid w:val="005A7AE1"/>
    <w:rsid w:val="005A7DED"/>
    <w:rsid w:val="005A7E52"/>
    <w:rsid w:val="005B0C9F"/>
    <w:rsid w:val="005B1FC5"/>
    <w:rsid w:val="005B2B7E"/>
    <w:rsid w:val="005B2F80"/>
    <w:rsid w:val="005B3107"/>
    <w:rsid w:val="005B3800"/>
    <w:rsid w:val="005B3B66"/>
    <w:rsid w:val="005B424D"/>
    <w:rsid w:val="005B4B53"/>
    <w:rsid w:val="005B4CBD"/>
    <w:rsid w:val="005B5062"/>
    <w:rsid w:val="005B513E"/>
    <w:rsid w:val="005B56F5"/>
    <w:rsid w:val="005B5C77"/>
    <w:rsid w:val="005B61C5"/>
    <w:rsid w:val="005B6511"/>
    <w:rsid w:val="005B688F"/>
    <w:rsid w:val="005B7720"/>
    <w:rsid w:val="005B7764"/>
    <w:rsid w:val="005C0557"/>
    <w:rsid w:val="005C076C"/>
    <w:rsid w:val="005C0AAD"/>
    <w:rsid w:val="005C0FB7"/>
    <w:rsid w:val="005C1A45"/>
    <w:rsid w:val="005C1A75"/>
    <w:rsid w:val="005C1F13"/>
    <w:rsid w:val="005C3922"/>
    <w:rsid w:val="005C45DD"/>
    <w:rsid w:val="005C5215"/>
    <w:rsid w:val="005C604E"/>
    <w:rsid w:val="005C69DB"/>
    <w:rsid w:val="005C6F9C"/>
    <w:rsid w:val="005C7132"/>
    <w:rsid w:val="005D0E6C"/>
    <w:rsid w:val="005D12BC"/>
    <w:rsid w:val="005D1622"/>
    <w:rsid w:val="005D1B03"/>
    <w:rsid w:val="005D26D0"/>
    <w:rsid w:val="005D2DF4"/>
    <w:rsid w:val="005D36EA"/>
    <w:rsid w:val="005D3B72"/>
    <w:rsid w:val="005D3D29"/>
    <w:rsid w:val="005D4B2B"/>
    <w:rsid w:val="005D513E"/>
    <w:rsid w:val="005D5B18"/>
    <w:rsid w:val="005D5B3B"/>
    <w:rsid w:val="005D6DAC"/>
    <w:rsid w:val="005D7258"/>
    <w:rsid w:val="005D79E2"/>
    <w:rsid w:val="005D7B03"/>
    <w:rsid w:val="005E1411"/>
    <w:rsid w:val="005E1501"/>
    <w:rsid w:val="005E15C7"/>
    <w:rsid w:val="005E171F"/>
    <w:rsid w:val="005E2BE4"/>
    <w:rsid w:val="005E3A13"/>
    <w:rsid w:val="005E533E"/>
    <w:rsid w:val="005E5E0A"/>
    <w:rsid w:val="005E67E5"/>
    <w:rsid w:val="005E6EC7"/>
    <w:rsid w:val="005E6FA4"/>
    <w:rsid w:val="005E7683"/>
    <w:rsid w:val="005F19EC"/>
    <w:rsid w:val="005F299E"/>
    <w:rsid w:val="005F2B16"/>
    <w:rsid w:val="005F3527"/>
    <w:rsid w:val="005F3C2C"/>
    <w:rsid w:val="005F3E47"/>
    <w:rsid w:val="005F54D9"/>
    <w:rsid w:val="005F5792"/>
    <w:rsid w:val="005F5AC7"/>
    <w:rsid w:val="005F670A"/>
    <w:rsid w:val="005F693E"/>
    <w:rsid w:val="005F77CC"/>
    <w:rsid w:val="00600377"/>
    <w:rsid w:val="00600696"/>
    <w:rsid w:val="006008BF"/>
    <w:rsid w:val="006008DC"/>
    <w:rsid w:val="00600E22"/>
    <w:rsid w:val="00600F45"/>
    <w:rsid w:val="00600F94"/>
    <w:rsid w:val="00601076"/>
    <w:rsid w:val="0060136A"/>
    <w:rsid w:val="00602146"/>
    <w:rsid w:val="0060265F"/>
    <w:rsid w:val="006026B0"/>
    <w:rsid w:val="00602F69"/>
    <w:rsid w:val="00603C5F"/>
    <w:rsid w:val="00603E7F"/>
    <w:rsid w:val="006041CE"/>
    <w:rsid w:val="00604218"/>
    <w:rsid w:val="00604A4D"/>
    <w:rsid w:val="006052AF"/>
    <w:rsid w:val="00605991"/>
    <w:rsid w:val="00605B29"/>
    <w:rsid w:val="00606191"/>
    <w:rsid w:val="00606C0D"/>
    <w:rsid w:val="00606C1A"/>
    <w:rsid w:val="00606DAA"/>
    <w:rsid w:val="0060721B"/>
    <w:rsid w:val="00607C8C"/>
    <w:rsid w:val="00610FA8"/>
    <w:rsid w:val="00612325"/>
    <w:rsid w:val="006131BD"/>
    <w:rsid w:val="0061421D"/>
    <w:rsid w:val="006148D4"/>
    <w:rsid w:val="00614D12"/>
    <w:rsid w:val="00614EC0"/>
    <w:rsid w:val="00615261"/>
    <w:rsid w:val="0061663F"/>
    <w:rsid w:val="006166B4"/>
    <w:rsid w:val="0061732C"/>
    <w:rsid w:val="00617433"/>
    <w:rsid w:val="0061780E"/>
    <w:rsid w:val="006179C2"/>
    <w:rsid w:val="00620C18"/>
    <w:rsid w:val="006215C1"/>
    <w:rsid w:val="00621B64"/>
    <w:rsid w:val="0062252C"/>
    <w:rsid w:val="00622CF8"/>
    <w:rsid w:val="00623273"/>
    <w:rsid w:val="0062365D"/>
    <w:rsid w:val="0062412D"/>
    <w:rsid w:val="006241F7"/>
    <w:rsid w:val="00624BE5"/>
    <w:rsid w:val="00624DD5"/>
    <w:rsid w:val="00624DD9"/>
    <w:rsid w:val="006254C8"/>
    <w:rsid w:val="00625B06"/>
    <w:rsid w:val="00625B45"/>
    <w:rsid w:val="00626674"/>
    <w:rsid w:val="0062692D"/>
    <w:rsid w:val="00626B31"/>
    <w:rsid w:val="00627582"/>
    <w:rsid w:val="00630908"/>
    <w:rsid w:val="00630993"/>
    <w:rsid w:val="00630EE8"/>
    <w:rsid w:val="0063110F"/>
    <w:rsid w:val="0063115A"/>
    <w:rsid w:val="006318C5"/>
    <w:rsid w:val="00631C1C"/>
    <w:rsid w:val="00631F5B"/>
    <w:rsid w:val="0063239C"/>
    <w:rsid w:val="006333AD"/>
    <w:rsid w:val="006336A2"/>
    <w:rsid w:val="00633BBB"/>
    <w:rsid w:val="00633C96"/>
    <w:rsid w:val="00633E26"/>
    <w:rsid w:val="0063470A"/>
    <w:rsid w:val="00634A40"/>
    <w:rsid w:val="00634B70"/>
    <w:rsid w:val="006350E8"/>
    <w:rsid w:val="0063515B"/>
    <w:rsid w:val="00635415"/>
    <w:rsid w:val="00635BB3"/>
    <w:rsid w:val="00635CC5"/>
    <w:rsid w:val="00636673"/>
    <w:rsid w:val="00636843"/>
    <w:rsid w:val="00636DFB"/>
    <w:rsid w:val="00637D76"/>
    <w:rsid w:val="00637FA4"/>
    <w:rsid w:val="006400A2"/>
    <w:rsid w:val="00640A6A"/>
    <w:rsid w:val="00640C05"/>
    <w:rsid w:val="006412C5"/>
    <w:rsid w:val="006413AA"/>
    <w:rsid w:val="006414A5"/>
    <w:rsid w:val="00641C9C"/>
    <w:rsid w:val="00641E88"/>
    <w:rsid w:val="00642054"/>
    <w:rsid w:val="006426BC"/>
    <w:rsid w:val="00643026"/>
    <w:rsid w:val="00643027"/>
    <w:rsid w:val="0064309F"/>
    <w:rsid w:val="0064322B"/>
    <w:rsid w:val="00643899"/>
    <w:rsid w:val="0064415F"/>
    <w:rsid w:val="006446CB"/>
    <w:rsid w:val="00645671"/>
    <w:rsid w:val="00645852"/>
    <w:rsid w:val="00645878"/>
    <w:rsid w:val="00645E3B"/>
    <w:rsid w:val="00645F99"/>
    <w:rsid w:val="006462BF"/>
    <w:rsid w:val="006468B6"/>
    <w:rsid w:val="00647789"/>
    <w:rsid w:val="006477B7"/>
    <w:rsid w:val="00647C97"/>
    <w:rsid w:val="00650075"/>
    <w:rsid w:val="006506D0"/>
    <w:rsid w:val="006509DD"/>
    <w:rsid w:val="006514A5"/>
    <w:rsid w:val="0065167B"/>
    <w:rsid w:val="006520BD"/>
    <w:rsid w:val="006523FD"/>
    <w:rsid w:val="00652763"/>
    <w:rsid w:val="00653E52"/>
    <w:rsid w:val="0065465C"/>
    <w:rsid w:val="00654C87"/>
    <w:rsid w:val="006553CB"/>
    <w:rsid w:val="00655A13"/>
    <w:rsid w:val="00655C81"/>
    <w:rsid w:val="00656FD2"/>
    <w:rsid w:val="0065715F"/>
    <w:rsid w:val="00657381"/>
    <w:rsid w:val="00657592"/>
    <w:rsid w:val="00657BE5"/>
    <w:rsid w:val="00657EFA"/>
    <w:rsid w:val="006609F8"/>
    <w:rsid w:val="00660AD6"/>
    <w:rsid w:val="00661262"/>
    <w:rsid w:val="00661CFA"/>
    <w:rsid w:val="00662067"/>
    <w:rsid w:val="006629F1"/>
    <w:rsid w:val="00662E4E"/>
    <w:rsid w:val="0066303D"/>
    <w:rsid w:val="006632C3"/>
    <w:rsid w:val="006634B9"/>
    <w:rsid w:val="0066386B"/>
    <w:rsid w:val="00663905"/>
    <w:rsid w:val="0066466E"/>
    <w:rsid w:val="0066491E"/>
    <w:rsid w:val="00664939"/>
    <w:rsid w:val="00664971"/>
    <w:rsid w:val="00664A59"/>
    <w:rsid w:val="00665CB5"/>
    <w:rsid w:val="00665E77"/>
    <w:rsid w:val="0066664A"/>
    <w:rsid w:val="00666751"/>
    <w:rsid w:val="006674E8"/>
    <w:rsid w:val="00667615"/>
    <w:rsid w:val="006700B8"/>
    <w:rsid w:val="0067046C"/>
    <w:rsid w:val="00670C42"/>
    <w:rsid w:val="0067186C"/>
    <w:rsid w:val="00671B5C"/>
    <w:rsid w:val="00671BD9"/>
    <w:rsid w:val="00671CA5"/>
    <w:rsid w:val="00671F5D"/>
    <w:rsid w:val="00671F96"/>
    <w:rsid w:val="00672A8E"/>
    <w:rsid w:val="00672BB0"/>
    <w:rsid w:val="006739AC"/>
    <w:rsid w:val="00673E49"/>
    <w:rsid w:val="006744FF"/>
    <w:rsid w:val="00674FBD"/>
    <w:rsid w:val="006751CA"/>
    <w:rsid w:val="00675314"/>
    <w:rsid w:val="006756C5"/>
    <w:rsid w:val="00675A57"/>
    <w:rsid w:val="00676B01"/>
    <w:rsid w:val="00676BEF"/>
    <w:rsid w:val="00676E3D"/>
    <w:rsid w:val="006779F2"/>
    <w:rsid w:val="00677B6F"/>
    <w:rsid w:val="00677DCE"/>
    <w:rsid w:val="0068061F"/>
    <w:rsid w:val="006806E3"/>
    <w:rsid w:val="00681105"/>
    <w:rsid w:val="00681198"/>
    <w:rsid w:val="00681658"/>
    <w:rsid w:val="0068196A"/>
    <w:rsid w:val="00681DB4"/>
    <w:rsid w:val="00681F26"/>
    <w:rsid w:val="00682007"/>
    <w:rsid w:val="00682865"/>
    <w:rsid w:val="00682DDA"/>
    <w:rsid w:val="00682E7A"/>
    <w:rsid w:val="00683282"/>
    <w:rsid w:val="0068370B"/>
    <w:rsid w:val="00683C6C"/>
    <w:rsid w:val="00683E52"/>
    <w:rsid w:val="006848A5"/>
    <w:rsid w:val="00684B08"/>
    <w:rsid w:val="00685674"/>
    <w:rsid w:val="00685DBD"/>
    <w:rsid w:val="00686281"/>
    <w:rsid w:val="0068688D"/>
    <w:rsid w:val="006869AB"/>
    <w:rsid w:val="00686C53"/>
    <w:rsid w:val="00686D8C"/>
    <w:rsid w:val="006876C2"/>
    <w:rsid w:val="00687A29"/>
    <w:rsid w:val="006904A4"/>
    <w:rsid w:val="006906A3"/>
    <w:rsid w:val="00690E63"/>
    <w:rsid w:val="00692741"/>
    <w:rsid w:val="00692A6B"/>
    <w:rsid w:val="00693C4D"/>
    <w:rsid w:val="00693D3F"/>
    <w:rsid w:val="006945F0"/>
    <w:rsid w:val="006946CE"/>
    <w:rsid w:val="00695106"/>
    <w:rsid w:val="00695C21"/>
    <w:rsid w:val="006960E3"/>
    <w:rsid w:val="00696228"/>
    <w:rsid w:val="00696742"/>
    <w:rsid w:val="00696A7F"/>
    <w:rsid w:val="00696EA8"/>
    <w:rsid w:val="00697075"/>
    <w:rsid w:val="0069707D"/>
    <w:rsid w:val="0069737A"/>
    <w:rsid w:val="00697490"/>
    <w:rsid w:val="006A01D9"/>
    <w:rsid w:val="006A08A3"/>
    <w:rsid w:val="006A0F0E"/>
    <w:rsid w:val="006A1279"/>
    <w:rsid w:val="006A2019"/>
    <w:rsid w:val="006A22D5"/>
    <w:rsid w:val="006A2442"/>
    <w:rsid w:val="006A264A"/>
    <w:rsid w:val="006A3A29"/>
    <w:rsid w:val="006A3CC6"/>
    <w:rsid w:val="006A3CFE"/>
    <w:rsid w:val="006A3F0E"/>
    <w:rsid w:val="006A51EC"/>
    <w:rsid w:val="006A555F"/>
    <w:rsid w:val="006A5D4C"/>
    <w:rsid w:val="006A5F9E"/>
    <w:rsid w:val="006A669F"/>
    <w:rsid w:val="006A7073"/>
    <w:rsid w:val="006A72C6"/>
    <w:rsid w:val="006A76F6"/>
    <w:rsid w:val="006B0B08"/>
    <w:rsid w:val="006B1112"/>
    <w:rsid w:val="006B1759"/>
    <w:rsid w:val="006B254F"/>
    <w:rsid w:val="006B26B6"/>
    <w:rsid w:val="006B2CEF"/>
    <w:rsid w:val="006B3B89"/>
    <w:rsid w:val="006B3C01"/>
    <w:rsid w:val="006B3CD5"/>
    <w:rsid w:val="006B3EEB"/>
    <w:rsid w:val="006B427B"/>
    <w:rsid w:val="006B4A2D"/>
    <w:rsid w:val="006B4B1C"/>
    <w:rsid w:val="006B50EF"/>
    <w:rsid w:val="006B5303"/>
    <w:rsid w:val="006B5366"/>
    <w:rsid w:val="006B55F5"/>
    <w:rsid w:val="006B5A8E"/>
    <w:rsid w:val="006B5E29"/>
    <w:rsid w:val="006B60D5"/>
    <w:rsid w:val="006B6217"/>
    <w:rsid w:val="006B6632"/>
    <w:rsid w:val="006B6865"/>
    <w:rsid w:val="006B7753"/>
    <w:rsid w:val="006B7ECE"/>
    <w:rsid w:val="006C0A56"/>
    <w:rsid w:val="006C0A57"/>
    <w:rsid w:val="006C1281"/>
    <w:rsid w:val="006C1B13"/>
    <w:rsid w:val="006C2367"/>
    <w:rsid w:val="006C256B"/>
    <w:rsid w:val="006C27FE"/>
    <w:rsid w:val="006C2A37"/>
    <w:rsid w:val="006C2C11"/>
    <w:rsid w:val="006C3574"/>
    <w:rsid w:val="006C3868"/>
    <w:rsid w:val="006C3B3F"/>
    <w:rsid w:val="006C4201"/>
    <w:rsid w:val="006C5A70"/>
    <w:rsid w:val="006C60DF"/>
    <w:rsid w:val="006C6393"/>
    <w:rsid w:val="006C6579"/>
    <w:rsid w:val="006C6643"/>
    <w:rsid w:val="006C7134"/>
    <w:rsid w:val="006C7ADE"/>
    <w:rsid w:val="006D014E"/>
    <w:rsid w:val="006D0701"/>
    <w:rsid w:val="006D0E2B"/>
    <w:rsid w:val="006D15C2"/>
    <w:rsid w:val="006D271C"/>
    <w:rsid w:val="006D2D57"/>
    <w:rsid w:val="006D31B0"/>
    <w:rsid w:val="006D37AA"/>
    <w:rsid w:val="006D3A29"/>
    <w:rsid w:val="006D3FF8"/>
    <w:rsid w:val="006D4473"/>
    <w:rsid w:val="006D4BD5"/>
    <w:rsid w:val="006D4C10"/>
    <w:rsid w:val="006D4C73"/>
    <w:rsid w:val="006D5E7D"/>
    <w:rsid w:val="006D638A"/>
    <w:rsid w:val="006D64D6"/>
    <w:rsid w:val="006D6D68"/>
    <w:rsid w:val="006D7321"/>
    <w:rsid w:val="006E0246"/>
    <w:rsid w:val="006E109B"/>
    <w:rsid w:val="006E154A"/>
    <w:rsid w:val="006E2321"/>
    <w:rsid w:val="006E28DE"/>
    <w:rsid w:val="006E2E11"/>
    <w:rsid w:val="006E3191"/>
    <w:rsid w:val="006E3CEC"/>
    <w:rsid w:val="006E3DF4"/>
    <w:rsid w:val="006E4406"/>
    <w:rsid w:val="006E4CE5"/>
    <w:rsid w:val="006E5999"/>
    <w:rsid w:val="006E5A66"/>
    <w:rsid w:val="006E685E"/>
    <w:rsid w:val="006E78D1"/>
    <w:rsid w:val="006F00F4"/>
    <w:rsid w:val="006F033F"/>
    <w:rsid w:val="006F04B9"/>
    <w:rsid w:val="006F2FF5"/>
    <w:rsid w:val="006F3292"/>
    <w:rsid w:val="006F39F6"/>
    <w:rsid w:val="006F3A51"/>
    <w:rsid w:val="006F3AD9"/>
    <w:rsid w:val="006F5A12"/>
    <w:rsid w:val="006F72A2"/>
    <w:rsid w:val="006F72D2"/>
    <w:rsid w:val="006F78F4"/>
    <w:rsid w:val="006F78F7"/>
    <w:rsid w:val="006F7CD9"/>
    <w:rsid w:val="00700295"/>
    <w:rsid w:val="00701772"/>
    <w:rsid w:val="00701E2B"/>
    <w:rsid w:val="007021A7"/>
    <w:rsid w:val="00702F94"/>
    <w:rsid w:val="007034D6"/>
    <w:rsid w:val="00703705"/>
    <w:rsid w:val="00703BB4"/>
    <w:rsid w:val="00703C98"/>
    <w:rsid w:val="00703CE8"/>
    <w:rsid w:val="007043AE"/>
    <w:rsid w:val="0070529E"/>
    <w:rsid w:val="0070562D"/>
    <w:rsid w:val="007056FF"/>
    <w:rsid w:val="00706AE2"/>
    <w:rsid w:val="0071025F"/>
    <w:rsid w:val="00711471"/>
    <w:rsid w:val="0071206C"/>
    <w:rsid w:val="007121DF"/>
    <w:rsid w:val="00712619"/>
    <w:rsid w:val="00712D3C"/>
    <w:rsid w:val="00712E11"/>
    <w:rsid w:val="00713889"/>
    <w:rsid w:val="00713A75"/>
    <w:rsid w:val="0071420E"/>
    <w:rsid w:val="00714261"/>
    <w:rsid w:val="00714511"/>
    <w:rsid w:val="00714A73"/>
    <w:rsid w:val="00714A8A"/>
    <w:rsid w:val="00714BB3"/>
    <w:rsid w:val="00714C96"/>
    <w:rsid w:val="007157E7"/>
    <w:rsid w:val="00715D04"/>
    <w:rsid w:val="007160D0"/>
    <w:rsid w:val="00716355"/>
    <w:rsid w:val="00716A2E"/>
    <w:rsid w:val="00716D25"/>
    <w:rsid w:val="007177F2"/>
    <w:rsid w:val="007204D5"/>
    <w:rsid w:val="00720F01"/>
    <w:rsid w:val="0072105E"/>
    <w:rsid w:val="00722A6B"/>
    <w:rsid w:val="00722CFA"/>
    <w:rsid w:val="0072359A"/>
    <w:rsid w:val="00723AA2"/>
    <w:rsid w:val="0072521E"/>
    <w:rsid w:val="00725319"/>
    <w:rsid w:val="0072539D"/>
    <w:rsid w:val="007259AF"/>
    <w:rsid w:val="00726707"/>
    <w:rsid w:val="0072686B"/>
    <w:rsid w:val="00726A99"/>
    <w:rsid w:val="00726C42"/>
    <w:rsid w:val="00726D06"/>
    <w:rsid w:val="00726FB2"/>
    <w:rsid w:val="00727506"/>
    <w:rsid w:val="00730008"/>
    <w:rsid w:val="0073059D"/>
    <w:rsid w:val="007308F9"/>
    <w:rsid w:val="00730B20"/>
    <w:rsid w:val="00730D18"/>
    <w:rsid w:val="00730E28"/>
    <w:rsid w:val="007315CE"/>
    <w:rsid w:val="0073173D"/>
    <w:rsid w:val="00731B27"/>
    <w:rsid w:val="00731B3B"/>
    <w:rsid w:val="00731BC3"/>
    <w:rsid w:val="00731C6C"/>
    <w:rsid w:val="007321C5"/>
    <w:rsid w:val="007327E6"/>
    <w:rsid w:val="007337C0"/>
    <w:rsid w:val="00733DD6"/>
    <w:rsid w:val="007342F0"/>
    <w:rsid w:val="00734942"/>
    <w:rsid w:val="00734963"/>
    <w:rsid w:val="0073552A"/>
    <w:rsid w:val="00735868"/>
    <w:rsid w:val="007364D0"/>
    <w:rsid w:val="00736BB0"/>
    <w:rsid w:val="0073707F"/>
    <w:rsid w:val="007371AE"/>
    <w:rsid w:val="00737942"/>
    <w:rsid w:val="00737D96"/>
    <w:rsid w:val="0074075B"/>
    <w:rsid w:val="00740765"/>
    <w:rsid w:val="00740CFD"/>
    <w:rsid w:val="0074166F"/>
    <w:rsid w:val="00741AA6"/>
    <w:rsid w:val="00741ACC"/>
    <w:rsid w:val="0074225E"/>
    <w:rsid w:val="00742AE6"/>
    <w:rsid w:val="00742ECA"/>
    <w:rsid w:val="0074338A"/>
    <w:rsid w:val="007435C5"/>
    <w:rsid w:val="00743CFE"/>
    <w:rsid w:val="00744839"/>
    <w:rsid w:val="0074496C"/>
    <w:rsid w:val="00746922"/>
    <w:rsid w:val="00747524"/>
    <w:rsid w:val="00747DE9"/>
    <w:rsid w:val="007501F0"/>
    <w:rsid w:val="00750592"/>
    <w:rsid w:val="007506BC"/>
    <w:rsid w:val="007507F8"/>
    <w:rsid w:val="00750D14"/>
    <w:rsid w:val="007517A0"/>
    <w:rsid w:val="00752089"/>
    <w:rsid w:val="00752A96"/>
    <w:rsid w:val="0075359E"/>
    <w:rsid w:val="00753B38"/>
    <w:rsid w:val="00755042"/>
    <w:rsid w:val="0075647F"/>
    <w:rsid w:val="00756BC5"/>
    <w:rsid w:val="00757194"/>
    <w:rsid w:val="0075753E"/>
    <w:rsid w:val="0075798E"/>
    <w:rsid w:val="00760057"/>
    <w:rsid w:val="0076081B"/>
    <w:rsid w:val="007619E8"/>
    <w:rsid w:val="00761F39"/>
    <w:rsid w:val="00763431"/>
    <w:rsid w:val="00763E99"/>
    <w:rsid w:val="0076469C"/>
    <w:rsid w:val="00765235"/>
    <w:rsid w:val="0076531E"/>
    <w:rsid w:val="00765346"/>
    <w:rsid w:val="007654CE"/>
    <w:rsid w:val="00765DE1"/>
    <w:rsid w:val="00765F47"/>
    <w:rsid w:val="00766006"/>
    <w:rsid w:val="007666DB"/>
    <w:rsid w:val="00766AA8"/>
    <w:rsid w:val="0076744A"/>
    <w:rsid w:val="007679F7"/>
    <w:rsid w:val="00770060"/>
    <w:rsid w:val="00770352"/>
    <w:rsid w:val="007703A1"/>
    <w:rsid w:val="00770825"/>
    <w:rsid w:val="007709D1"/>
    <w:rsid w:val="00770F39"/>
    <w:rsid w:val="00771400"/>
    <w:rsid w:val="00771438"/>
    <w:rsid w:val="0077203C"/>
    <w:rsid w:val="00772F13"/>
    <w:rsid w:val="00772FE4"/>
    <w:rsid w:val="007735FE"/>
    <w:rsid w:val="00773D52"/>
    <w:rsid w:val="00774373"/>
    <w:rsid w:val="0077460D"/>
    <w:rsid w:val="007748EB"/>
    <w:rsid w:val="00774971"/>
    <w:rsid w:val="00775C5D"/>
    <w:rsid w:val="0077601B"/>
    <w:rsid w:val="007761E1"/>
    <w:rsid w:val="0077779A"/>
    <w:rsid w:val="00777B49"/>
    <w:rsid w:val="0078036B"/>
    <w:rsid w:val="00780E50"/>
    <w:rsid w:val="00781461"/>
    <w:rsid w:val="00781BD5"/>
    <w:rsid w:val="00781C39"/>
    <w:rsid w:val="00781D16"/>
    <w:rsid w:val="00781E63"/>
    <w:rsid w:val="00782259"/>
    <w:rsid w:val="007825C0"/>
    <w:rsid w:val="007829BF"/>
    <w:rsid w:val="00782A98"/>
    <w:rsid w:val="0078310D"/>
    <w:rsid w:val="007833F6"/>
    <w:rsid w:val="00783912"/>
    <w:rsid w:val="00784765"/>
    <w:rsid w:val="00785239"/>
    <w:rsid w:val="00785727"/>
    <w:rsid w:val="00785C14"/>
    <w:rsid w:val="0078631C"/>
    <w:rsid w:val="007870CF"/>
    <w:rsid w:val="00787387"/>
    <w:rsid w:val="007900DD"/>
    <w:rsid w:val="007908EB"/>
    <w:rsid w:val="007918E7"/>
    <w:rsid w:val="00791A1B"/>
    <w:rsid w:val="00791E8D"/>
    <w:rsid w:val="00792048"/>
    <w:rsid w:val="00792165"/>
    <w:rsid w:val="0079255B"/>
    <w:rsid w:val="007926B9"/>
    <w:rsid w:val="00792785"/>
    <w:rsid w:val="00794A61"/>
    <w:rsid w:val="00794B18"/>
    <w:rsid w:val="00794C43"/>
    <w:rsid w:val="00795068"/>
    <w:rsid w:val="0079548F"/>
    <w:rsid w:val="00795BD9"/>
    <w:rsid w:val="00795BE2"/>
    <w:rsid w:val="00795FB0"/>
    <w:rsid w:val="00796CE1"/>
    <w:rsid w:val="00797167"/>
    <w:rsid w:val="007972CD"/>
    <w:rsid w:val="00797CCF"/>
    <w:rsid w:val="007A076A"/>
    <w:rsid w:val="007A1355"/>
    <w:rsid w:val="007A13B1"/>
    <w:rsid w:val="007A264B"/>
    <w:rsid w:val="007A26DA"/>
    <w:rsid w:val="007A2DD1"/>
    <w:rsid w:val="007A304C"/>
    <w:rsid w:val="007A35CC"/>
    <w:rsid w:val="007A391F"/>
    <w:rsid w:val="007A4280"/>
    <w:rsid w:val="007A4A7E"/>
    <w:rsid w:val="007A5497"/>
    <w:rsid w:val="007A5923"/>
    <w:rsid w:val="007A5FE9"/>
    <w:rsid w:val="007A61FB"/>
    <w:rsid w:val="007A62AD"/>
    <w:rsid w:val="007A6A4F"/>
    <w:rsid w:val="007A77B8"/>
    <w:rsid w:val="007A7E19"/>
    <w:rsid w:val="007B0244"/>
    <w:rsid w:val="007B0D08"/>
    <w:rsid w:val="007B20AC"/>
    <w:rsid w:val="007B20C8"/>
    <w:rsid w:val="007B27A6"/>
    <w:rsid w:val="007B2A83"/>
    <w:rsid w:val="007B2B48"/>
    <w:rsid w:val="007B3188"/>
    <w:rsid w:val="007B3212"/>
    <w:rsid w:val="007B32CF"/>
    <w:rsid w:val="007B3899"/>
    <w:rsid w:val="007B3CC8"/>
    <w:rsid w:val="007B3F8B"/>
    <w:rsid w:val="007B421F"/>
    <w:rsid w:val="007B4445"/>
    <w:rsid w:val="007B4847"/>
    <w:rsid w:val="007B4B47"/>
    <w:rsid w:val="007B5DB2"/>
    <w:rsid w:val="007B64E1"/>
    <w:rsid w:val="007B6677"/>
    <w:rsid w:val="007B6B9F"/>
    <w:rsid w:val="007B6F9E"/>
    <w:rsid w:val="007B791C"/>
    <w:rsid w:val="007B7AD9"/>
    <w:rsid w:val="007C023F"/>
    <w:rsid w:val="007C068B"/>
    <w:rsid w:val="007C0C65"/>
    <w:rsid w:val="007C0DB0"/>
    <w:rsid w:val="007C0E69"/>
    <w:rsid w:val="007C10B0"/>
    <w:rsid w:val="007C1189"/>
    <w:rsid w:val="007C17BD"/>
    <w:rsid w:val="007C1B1D"/>
    <w:rsid w:val="007C1BB5"/>
    <w:rsid w:val="007C22AD"/>
    <w:rsid w:val="007C27B0"/>
    <w:rsid w:val="007C29C0"/>
    <w:rsid w:val="007C33DD"/>
    <w:rsid w:val="007C39D7"/>
    <w:rsid w:val="007C3CD3"/>
    <w:rsid w:val="007C43A1"/>
    <w:rsid w:val="007C46A8"/>
    <w:rsid w:val="007C5189"/>
    <w:rsid w:val="007C5C86"/>
    <w:rsid w:val="007C6212"/>
    <w:rsid w:val="007C694A"/>
    <w:rsid w:val="007C6E53"/>
    <w:rsid w:val="007C6F9D"/>
    <w:rsid w:val="007C72E3"/>
    <w:rsid w:val="007C764C"/>
    <w:rsid w:val="007C76EC"/>
    <w:rsid w:val="007C77B0"/>
    <w:rsid w:val="007C7A72"/>
    <w:rsid w:val="007C7D39"/>
    <w:rsid w:val="007D0173"/>
    <w:rsid w:val="007D0434"/>
    <w:rsid w:val="007D08B9"/>
    <w:rsid w:val="007D0995"/>
    <w:rsid w:val="007D1045"/>
    <w:rsid w:val="007D1693"/>
    <w:rsid w:val="007D169E"/>
    <w:rsid w:val="007D28CC"/>
    <w:rsid w:val="007D3552"/>
    <w:rsid w:val="007D3645"/>
    <w:rsid w:val="007D373B"/>
    <w:rsid w:val="007D49AE"/>
    <w:rsid w:val="007D4B01"/>
    <w:rsid w:val="007D4D46"/>
    <w:rsid w:val="007D61CF"/>
    <w:rsid w:val="007D63B9"/>
    <w:rsid w:val="007D65E9"/>
    <w:rsid w:val="007D6D12"/>
    <w:rsid w:val="007D6DF8"/>
    <w:rsid w:val="007D6F47"/>
    <w:rsid w:val="007D7148"/>
    <w:rsid w:val="007D715A"/>
    <w:rsid w:val="007D7351"/>
    <w:rsid w:val="007D75A0"/>
    <w:rsid w:val="007D75DD"/>
    <w:rsid w:val="007D79C9"/>
    <w:rsid w:val="007E04FC"/>
    <w:rsid w:val="007E06AC"/>
    <w:rsid w:val="007E0F02"/>
    <w:rsid w:val="007E1190"/>
    <w:rsid w:val="007E1411"/>
    <w:rsid w:val="007E1D02"/>
    <w:rsid w:val="007E2F4D"/>
    <w:rsid w:val="007E380A"/>
    <w:rsid w:val="007E3C11"/>
    <w:rsid w:val="007E3DC0"/>
    <w:rsid w:val="007E41CB"/>
    <w:rsid w:val="007E42FA"/>
    <w:rsid w:val="007E47A2"/>
    <w:rsid w:val="007E4995"/>
    <w:rsid w:val="007E4A3D"/>
    <w:rsid w:val="007E4ABD"/>
    <w:rsid w:val="007E4CA4"/>
    <w:rsid w:val="007E53A8"/>
    <w:rsid w:val="007E592C"/>
    <w:rsid w:val="007E6002"/>
    <w:rsid w:val="007E635F"/>
    <w:rsid w:val="007E688E"/>
    <w:rsid w:val="007E753B"/>
    <w:rsid w:val="007E7CB0"/>
    <w:rsid w:val="007E7D59"/>
    <w:rsid w:val="007E7FB4"/>
    <w:rsid w:val="007F0227"/>
    <w:rsid w:val="007F069A"/>
    <w:rsid w:val="007F0DDA"/>
    <w:rsid w:val="007F13F5"/>
    <w:rsid w:val="007F180E"/>
    <w:rsid w:val="007F1C94"/>
    <w:rsid w:val="007F321B"/>
    <w:rsid w:val="007F40B2"/>
    <w:rsid w:val="007F4546"/>
    <w:rsid w:val="007F4996"/>
    <w:rsid w:val="007F4C98"/>
    <w:rsid w:val="007F4CA0"/>
    <w:rsid w:val="007F504E"/>
    <w:rsid w:val="007F510D"/>
    <w:rsid w:val="007F59A2"/>
    <w:rsid w:val="007F5A8C"/>
    <w:rsid w:val="007F75E5"/>
    <w:rsid w:val="007F79CC"/>
    <w:rsid w:val="007F7FD0"/>
    <w:rsid w:val="007F7FFE"/>
    <w:rsid w:val="008017E7"/>
    <w:rsid w:val="00801F01"/>
    <w:rsid w:val="00801F15"/>
    <w:rsid w:val="008059AB"/>
    <w:rsid w:val="00805ADE"/>
    <w:rsid w:val="00805B6B"/>
    <w:rsid w:val="00805FD7"/>
    <w:rsid w:val="008060B1"/>
    <w:rsid w:val="0080641D"/>
    <w:rsid w:val="00806A43"/>
    <w:rsid w:val="0080744A"/>
    <w:rsid w:val="00807BEF"/>
    <w:rsid w:val="00810310"/>
    <w:rsid w:val="00810883"/>
    <w:rsid w:val="00810D4A"/>
    <w:rsid w:val="008116DF"/>
    <w:rsid w:val="00811CBE"/>
    <w:rsid w:val="008120C4"/>
    <w:rsid w:val="00812A3D"/>
    <w:rsid w:val="0081308E"/>
    <w:rsid w:val="00813254"/>
    <w:rsid w:val="008139AC"/>
    <w:rsid w:val="00813C75"/>
    <w:rsid w:val="008142A9"/>
    <w:rsid w:val="0081486C"/>
    <w:rsid w:val="00815450"/>
    <w:rsid w:val="008154E8"/>
    <w:rsid w:val="00815543"/>
    <w:rsid w:val="008156D9"/>
    <w:rsid w:val="008158F8"/>
    <w:rsid w:val="00816CC9"/>
    <w:rsid w:val="00816E73"/>
    <w:rsid w:val="00817503"/>
    <w:rsid w:val="00817CE6"/>
    <w:rsid w:val="00820019"/>
    <w:rsid w:val="00820454"/>
    <w:rsid w:val="008205F9"/>
    <w:rsid w:val="0082065D"/>
    <w:rsid w:val="00820EF6"/>
    <w:rsid w:val="0082222C"/>
    <w:rsid w:val="00822D70"/>
    <w:rsid w:val="00823BDF"/>
    <w:rsid w:val="00823CF9"/>
    <w:rsid w:val="0082417D"/>
    <w:rsid w:val="008245FF"/>
    <w:rsid w:val="00825184"/>
    <w:rsid w:val="0082521A"/>
    <w:rsid w:val="0082580A"/>
    <w:rsid w:val="00826640"/>
    <w:rsid w:val="00827579"/>
    <w:rsid w:val="00827D2B"/>
    <w:rsid w:val="00827D47"/>
    <w:rsid w:val="00827E88"/>
    <w:rsid w:val="00830924"/>
    <w:rsid w:val="008309B0"/>
    <w:rsid w:val="0083143A"/>
    <w:rsid w:val="00831CD2"/>
    <w:rsid w:val="00832541"/>
    <w:rsid w:val="0083281F"/>
    <w:rsid w:val="00833163"/>
    <w:rsid w:val="00833280"/>
    <w:rsid w:val="008333B7"/>
    <w:rsid w:val="008333D0"/>
    <w:rsid w:val="00833F77"/>
    <w:rsid w:val="00834CA3"/>
    <w:rsid w:val="00835456"/>
    <w:rsid w:val="008356CF"/>
    <w:rsid w:val="00835A48"/>
    <w:rsid w:val="0083668B"/>
    <w:rsid w:val="00836BD3"/>
    <w:rsid w:val="00837F92"/>
    <w:rsid w:val="00840BFB"/>
    <w:rsid w:val="00841853"/>
    <w:rsid w:val="008419EF"/>
    <w:rsid w:val="00841AB0"/>
    <w:rsid w:val="008421B1"/>
    <w:rsid w:val="008428DD"/>
    <w:rsid w:val="00842CD5"/>
    <w:rsid w:val="0084346E"/>
    <w:rsid w:val="008435A4"/>
    <w:rsid w:val="0084501E"/>
    <w:rsid w:val="00846316"/>
    <w:rsid w:val="008464AC"/>
    <w:rsid w:val="0084676E"/>
    <w:rsid w:val="00846EF6"/>
    <w:rsid w:val="008504D4"/>
    <w:rsid w:val="0085177D"/>
    <w:rsid w:val="008517C9"/>
    <w:rsid w:val="0085180A"/>
    <w:rsid w:val="00851E16"/>
    <w:rsid w:val="008521F2"/>
    <w:rsid w:val="00852348"/>
    <w:rsid w:val="00852484"/>
    <w:rsid w:val="0085279D"/>
    <w:rsid w:val="00852952"/>
    <w:rsid w:val="0085335D"/>
    <w:rsid w:val="00853DE9"/>
    <w:rsid w:val="00853E6F"/>
    <w:rsid w:val="00853EFE"/>
    <w:rsid w:val="00853FC4"/>
    <w:rsid w:val="00854427"/>
    <w:rsid w:val="0085487F"/>
    <w:rsid w:val="008560A0"/>
    <w:rsid w:val="00856183"/>
    <w:rsid w:val="008567BE"/>
    <w:rsid w:val="00856A05"/>
    <w:rsid w:val="00856CCA"/>
    <w:rsid w:val="00857ADF"/>
    <w:rsid w:val="00860B59"/>
    <w:rsid w:val="0086122C"/>
    <w:rsid w:val="0086168F"/>
    <w:rsid w:val="00861B41"/>
    <w:rsid w:val="00862A94"/>
    <w:rsid w:val="00862BD0"/>
    <w:rsid w:val="00863990"/>
    <w:rsid w:val="008639CC"/>
    <w:rsid w:val="00863EE7"/>
    <w:rsid w:val="0086430A"/>
    <w:rsid w:val="00864459"/>
    <w:rsid w:val="00864B39"/>
    <w:rsid w:val="00864C14"/>
    <w:rsid w:val="00866B28"/>
    <w:rsid w:val="00866BAD"/>
    <w:rsid w:val="00867398"/>
    <w:rsid w:val="00867E89"/>
    <w:rsid w:val="00870E0A"/>
    <w:rsid w:val="00871122"/>
    <w:rsid w:val="0087115E"/>
    <w:rsid w:val="008713B3"/>
    <w:rsid w:val="00871451"/>
    <w:rsid w:val="0087146B"/>
    <w:rsid w:val="00871612"/>
    <w:rsid w:val="0087186E"/>
    <w:rsid w:val="00871BCC"/>
    <w:rsid w:val="00871C44"/>
    <w:rsid w:val="00871E21"/>
    <w:rsid w:val="008724C5"/>
    <w:rsid w:val="00872878"/>
    <w:rsid w:val="00873836"/>
    <w:rsid w:val="00873AE3"/>
    <w:rsid w:val="00873B52"/>
    <w:rsid w:val="00874AA9"/>
    <w:rsid w:val="00874D12"/>
    <w:rsid w:val="0087509B"/>
    <w:rsid w:val="0087583A"/>
    <w:rsid w:val="00875A49"/>
    <w:rsid w:val="00875A57"/>
    <w:rsid w:val="008762CD"/>
    <w:rsid w:val="00877565"/>
    <w:rsid w:val="00877AEB"/>
    <w:rsid w:val="00877C2B"/>
    <w:rsid w:val="0088097C"/>
    <w:rsid w:val="008810E5"/>
    <w:rsid w:val="008812BE"/>
    <w:rsid w:val="00881BC6"/>
    <w:rsid w:val="00881CF5"/>
    <w:rsid w:val="008820BD"/>
    <w:rsid w:val="00882D00"/>
    <w:rsid w:val="008839A6"/>
    <w:rsid w:val="00883BFE"/>
    <w:rsid w:val="00884232"/>
    <w:rsid w:val="008842E4"/>
    <w:rsid w:val="008843AD"/>
    <w:rsid w:val="00884450"/>
    <w:rsid w:val="00884664"/>
    <w:rsid w:val="00886010"/>
    <w:rsid w:val="008904D3"/>
    <w:rsid w:val="008905F0"/>
    <w:rsid w:val="008908B8"/>
    <w:rsid w:val="0089124B"/>
    <w:rsid w:val="008912D8"/>
    <w:rsid w:val="00891A38"/>
    <w:rsid w:val="00891BF9"/>
    <w:rsid w:val="00891D15"/>
    <w:rsid w:val="008926D2"/>
    <w:rsid w:val="0089380C"/>
    <w:rsid w:val="008939BE"/>
    <w:rsid w:val="008947B2"/>
    <w:rsid w:val="00894826"/>
    <w:rsid w:val="008954A6"/>
    <w:rsid w:val="00895834"/>
    <w:rsid w:val="00895A10"/>
    <w:rsid w:val="00897324"/>
    <w:rsid w:val="00897A50"/>
    <w:rsid w:val="00897B74"/>
    <w:rsid w:val="00897B8E"/>
    <w:rsid w:val="00897DF3"/>
    <w:rsid w:val="008A030E"/>
    <w:rsid w:val="008A0695"/>
    <w:rsid w:val="008A17F7"/>
    <w:rsid w:val="008A273D"/>
    <w:rsid w:val="008A2B20"/>
    <w:rsid w:val="008A32F5"/>
    <w:rsid w:val="008A41C8"/>
    <w:rsid w:val="008A42F2"/>
    <w:rsid w:val="008A475B"/>
    <w:rsid w:val="008A48C9"/>
    <w:rsid w:val="008A493B"/>
    <w:rsid w:val="008A5733"/>
    <w:rsid w:val="008A5937"/>
    <w:rsid w:val="008A5EA2"/>
    <w:rsid w:val="008A6988"/>
    <w:rsid w:val="008A6A90"/>
    <w:rsid w:val="008A704D"/>
    <w:rsid w:val="008A743E"/>
    <w:rsid w:val="008B0110"/>
    <w:rsid w:val="008B08F7"/>
    <w:rsid w:val="008B1150"/>
    <w:rsid w:val="008B15A4"/>
    <w:rsid w:val="008B1BB0"/>
    <w:rsid w:val="008B1CD3"/>
    <w:rsid w:val="008B1D41"/>
    <w:rsid w:val="008B2C3F"/>
    <w:rsid w:val="008B3AAA"/>
    <w:rsid w:val="008B3DD9"/>
    <w:rsid w:val="008B405D"/>
    <w:rsid w:val="008B435B"/>
    <w:rsid w:val="008B53C2"/>
    <w:rsid w:val="008B53CC"/>
    <w:rsid w:val="008B5692"/>
    <w:rsid w:val="008B7037"/>
    <w:rsid w:val="008B71A8"/>
    <w:rsid w:val="008C1389"/>
    <w:rsid w:val="008C15C0"/>
    <w:rsid w:val="008C1876"/>
    <w:rsid w:val="008C303C"/>
    <w:rsid w:val="008C3067"/>
    <w:rsid w:val="008C3F7F"/>
    <w:rsid w:val="008C424E"/>
    <w:rsid w:val="008C4BC2"/>
    <w:rsid w:val="008C4EE8"/>
    <w:rsid w:val="008C540E"/>
    <w:rsid w:val="008C6039"/>
    <w:rsid w:val="008C6F50"/>
    <w:rsid w:val="008C72C6"/>
    <w:rsid w:val="008C7530"/>
    <w:rsid w:val="008C75A6"/>
    <w:rsid w:val="008C7A30"/>
    <w:rsid w:val="008D0357"/>
    <w:rsid w:val="008D0429"/>
    <w:rsid w:val="008D0EEE"/>
    <w:rsid w:val="008D1AEC"/>
    <w:rsid w:val="008D1AF4"/>
    <w:rsid w:val="008D2510"/>
    <w:rsid w:val="008D2B9F"/>
    <w:rsid w:val="008D3579"/>
    <w:rsid w:val="008D471F"/>
    <w:rsid w:val="008D4796"/>
    <w:rsid w:val="008D47EC"/>
    <w:rsid w:val="008D488F"/>
    <w:rsid w:val="008D4C8F"/>
    <w:rsid w:val="008D603A"/>
    <w:rsid w:val="008D6168"/>
    <w:rsid w:val="008D6F6A"/>
    <w:rsid w:val="008D71BC"/>
    <w:rsid w:val="008D7FFC"/>
    <w:rsid w:val="008E0E4D"/>
    <w:rsid w:val="008E1AE6"/>
    <w:rsid w:val="008E2B36"/>
    <w:rsid w:val="008E3EEF"/>
    <w:rsid w:val="008E493E"/>
    <w:rsid w:val="008E522F"/>
    <w:rsid w:val="008E530B"/>
    <w:rsid w:val="008E5985"/>
    <w:rsid w:val="008E61E0"/>
    <w:rsid w:val="008E6496"/>
    <w:rsid w:val="008E7778"/>
    <w:rsid w:val="008E7C36"/>
    <w:rsid w:val="008F0285"/>
    <w:rsid w:val="008F0467"/>
    <w:rsid w:val="008F05DD"/>
    <w:rsid w:val="008F0A15"/>
    <w:rsid w:val="008F1076"/>
    <w:rsid w:val="008F10DE"/>
    <w:rsid w:val="008F13FB"/>
    <w:rsid w:val="008F1D3F"/>
    <w:rsid w:val="008F2331"/>
    <w:rsid w:val="008F25A4"/>
    <w:rsid w:val="008F2DF2"/>
    <w:rsid w:val="008F3065"/>
    <w:rsid w:val="008F3BB6"/>
    <w:rsid w:val="008F44E1"/>
    <w:rsid w:val="008F4808"/>
    <w:rsid w:val="008F4AD2"/>
    <w:rsid w:val="008F522B"/>
    <w:rsid w:val="008F5316"/>
    <w:rsid w:val="008F639C"/>
    <w:rsid w:val="008F6CD3"/>
    <w:rsid w:val="008F78F0"/>
    <w:rsid w:val="00901621"/>
    <w:rsid w:val="00901BEE"/>
    <w:rsid w:val="00902032"/>
    <w:rsid w:val="0090356C"/>
    <w:rsid w:val="009037F9"/>
    <w:rsid w:val="00903A3B"/>
    <w:rsid w:val="0090412A"/>
    <w:rsid w:val="00904C37"/>
    <w:rsid w:val="009057F8"/>
    <w:rsid w:val="00905F4F"/>
    <w:rsid w:val="00907620"/>
    <w:rsid w:val="00907AAA"/>
    <w:rsid w:val="00910E82"/>
    <w:rsid w:val="00911F7B"/>
    <w:rsid w:val="00913B76"/>
    <w:rsid w:val="00913B9B"/>
    <w:rsid w:val="0091555E"/>
    <w:rsid w:val="00915A83"/>
    <w:rsid w:val="00916C72"/>
    <w:rsid w:val="00916D7C"/>
    <w:rsid w:val="009175BE"/>
    <w:rsid w:val="009178FF"/>
    <w:rsid w:val="009201B6"/>
    <w:rsid w:val="00920C85"/>
    <w:rsid w:val="00920D98"/>
    <w:rsid w:val="00920FBC"/>
    <w:rsid w:val="009212CB"/>
    <w:rsid w:val="0092241D"/>
    <w:rsid w:val="009226FB"/>
    <w:rsid w:val="0092270E"/>
    <w:rsid w:val="00922A79"/>
    <w:rsid w:val="00922D0F"/>
    <w:rsid w:val="0092300F"/>
    <w:rsid w:val="009232EA"/>
    <w:rsid w:val="009233B7"/>
    <w:rsid w:val="009234A2"/>
    <w:rsid w:val="0092396F"/>
    <w:rsid w:val="00924146"/>
    <w:rsid w:val="009244FF"/>
    <w:rsid w:val="00924799"/>
    <w:rsid w:val="00924ACA"/>
    <w:rsid w:val="00925353"/>
    <w:rsid w:val="0092576F"/>
    <w:rsid w:val="009259B7"/>
    <w:rsid w:val="00926198"/>
    <w:rsid w:val="00926318"/>
    <w:rsid w:val="00926948"/>
    <w:rsid w:val="00927679"/>
    <w:rsid w:val="009300B2"/>
    <w:rsid w:val="00930C40"/>
    <w:rsid w:val="00930EE1"/>
    <w:rsid w:val="00930EF7"/>
    <w:rsid w:val="0093127A"/>
    <w:rsid w:val="00931783"/>
    <w:rsid w:val="0093190B"/>
    <w:rsid w:val="00931A80"/>
    <w:rsid w:val="0093231C"/>
    <w:rsid w:val="009324BD"/>
    <w:rsid w:val="00932596"/>
    <w:rsid w:val="00932618"/>
    <w:rsid w:val="00933311"/>
    <w:rsid w:val="009337ED"/>
    <w:rsid w:val="009339A7"/>
    <w:rsid w:val="00933B9C"/>
    <w:rsid w:val="00933D76"/>
    <w:rsid w:val="009345AA"/>
    <w:rsid w:val="009349FE"/>
    <w:rsid w:val="009350FA"/>
    <w:rsid w:val="0093568E"/>
    <w:rsid w:val="00935A3A"/>
    <w:rsid w:val="009363B9"/>
    <w:rsid w:val="00936DC3"/>
    <w:rsid w:val="00936DC7"/>
    <w:rsid w:val="00936DDB"/>
    <w:rsid w:val="00937613"/>
    <w:rsid w:val="00937C91"/>
    <w:rsid w:val="00937F06"/>
    <w:rsid w:val="00937FAD"/>
    <w:rsid w:val="0094034B"/>
    <w:rsid w:val="009412E0"/>
    <w:rsid w:val="00941725"/>
    <w:rsid w:val="00941871"/>
    <w:rsid w:val="009419F3"/>
    <w:rsid w:val="00941D6E"/>
    <w:rsid w:val="00943CB7"/>
    <w:rsid w:val="00943CD2"/>
    <w:rsid w:val="009448F0"/>
    <w:rsid w:val="00944DB7"/>
    <w:rsid w:val="00945903"/>
    <w:rsid w:val="0094607A"/>
    <w:rsid w:val="009469DB"/>
    <w:rsid w:val="0095038B"/>
    <w:rsid w:val="00950DFE"/>
    <w:rsid w:val="009512F3"/>
    <w:rsid w:val="0095187B"/>
    <w:rsid w:val="00952105"/>
    <w:rsid w:val="00952372"/>
    <w:rsid w:val="00952940"/>
    <w:rsid w:val="00953C3E"/>
    <w:rsid w:val="00954629"/>
    <w:rsid w:val="009549CE"/>
    <w:rsid w:val="009550B0"/>
    <w:rsid w:val="00955E89"/>
    <w:rsid w:val="00956673"/>
    <w:rsid w:val="009567F1"/>
    <w:rsid w:val="00957607"/>
    <w:rsid w:val="00960292"/>
    <w:rsid w:val="009603C5"/>
    <w:rsid w:val="00960987"/>
    <w:rsid w:val="009628CB"/>
    <w:rsid w:val="00962C2C"/>
    <w:rsid w:val="00963258"/>
    <w:rsid w:val="0096338B"/>
    <w:rsid w:val="009634F6"/>
    <w:rsid w:val="00963B34"/>
    <w:rsid w:val="00964291"/>
    <w:rsid w:val="0096434D"/>
    <w:rsid w:val="00964506"/>
    <w:rsid w:val="00964F91"/>
    <w:rsid w:val="009651EA"/>
    <w:rsid w:val="00965F77"/>
    <w:rsid w:val="00966366"/>
    <w:rsid w:val="009663F4"/>
    <w:rsid w:val="00966810"/>
    <w:rsid w:val="00967921"/>
    <w:rsid w:val="00970110"/>
    <w:rsid w:val="00970664"/>
    <w:rsid w:val="00970AAD"/>
    <w:rsid w:val="00970AE0"/>
    <w:rsid w:val="00971220"/>
    <w:rsid w:val="0097133A"/>
    <w:rsid w:val="009717B9"/>
    <w:rsid w:val="00971925"/>
    <w:rsid w:val="009722D3"/>
    <w:rsid w:val="00972629"/>
    <w:rsid w:val="0097318B"/>
    <w:rsid w:val="00973320"/>
    <w:rsid w:val="00974347"/>
    <w:rsid w:val="00974C73"/>
    <w:rsid w:val="00974C91"/>
    <w:rsid w:val="00974CD7"/>
    <w:rsid w:val="00974D05"/>
    <w:rsid w:val="00974DC0"/>
    <w:rsid w:val="009753C4"/>
    <w:rsid w:val="00975A2F"/>
    <w:rsid w:val="00975F5D"/>
    <w:rsid w:val="009764F8"/>
    <w:rsid w:val="00976A7D"/>
    <w:rsid w:val="00976E1A"/>
    <w:rsid w:val="00977B45"/>
    <w:rsid w:val="00977CA8"/>
    <w:rsid w:val="00977FE0"/>
    <w:rsid w:val="009808C9"/>
    <w:rsid w:val="00980C31"/>
    <w:rsid w:val="009810C9"/>
    <w:rsid w:val="009816C7"/>
    <w:rsid w:val="0098326E"/>
    <w:rsid w:val="00983575"/>
    <w:rsid w:val="00983D9C"/>
    <w:rsid w:val="009841C1"/>
    <w:rsid w:val="009843D0"/>
    <w:rsid w:val="0098450A"/>
    <w:rsid w:val="00984930"/>
    <w:rsid w:val="009854BA"/>
    <w:rsid w:val="00986408"/>
    <w:rsid w:val="009864A1"/>
    <w:rsid w:val="00986AE2"/>
    <w:rsid w:val="0098754F"/>
    <w:rsid w:val="00987976"/>
    <w:rsid w:val="00987A33"/>
    <w:rsid w:val="00987E9B"/>
    <w:rsid w:val="00987F3A"/>
    <w:rsid w:val="00992802"/>
    <w:rsid w:val="00992976"/>
    <w:rsid w:val="00992FD0"/>
    <w:rsid w:val="00993AFB"/>
    <w:rsid w:val="00994B4D"/>
    <w:rsid w:val="009956EC"/>
    <w:rsid w:val="00995B83"/>
    <w:rsid w:val="00995D37"/>
    <w:rsid w:val="009960AE"/>
    <w:rsid w:val="00996116"/>
    <w:rsid w:val="009964DD"/>
    <w:rsid w:val="00996A50"/>
    <w:rsid w:val="00996E50"/>
    <w:rsid w:val="0099703F"/>
    <w:rsid w:val="00997537"/>
    <w:rsid w:val="009976C7"/>
    <w:rsid w:val="00997AC9"/>
    <w:rsid w:val="00997B12"/>
    <w:rsid w:val="009A0850"/>
    <w:rsid w:val="009A09DB"/>
    <w:rsid w:val="009A0C06"/>
    <w:rsid w:val="009A1649"/>
    <w:rsid w:val="009A191F"/>
    <w:rsid w:val="009A37E6"/>
    <w:rsid w:val="009A3947"/>
    <w:rsid w:val="009A3BB9"/>
    <w:rsid w:val="009A4C71"/>
    <w:rsid w:val="009A4E38"/>
    <w:rsid w:val="009A511D"/>
    <w:rsid w:val="009A5B84"/>
    <w:rsid w:val="009A5D3C"/>
    <w:rsid w:val="009A6B08"/>
    <w:rsid w:val="009A6F8D"/>
    <w:rsid w:val="009A7A93"/>
    <w:rsid w:val="009A7C3C"/>
    <w:rsid w:val="009B0538"/>
    <w:rsid w:val="009B0624"/>
    <w:rsid w:val="009B090D"/>
    <w:rsid w:val="009B0DD7"/>
    <w:rsid w:val="009B14CF"/>
    <w:rsid w:val="009B1585"/>
    <w:rsid w:val="009B1F30"/>
    <w:rsid w:val="009B2283"/>
    <w:rsid w:val="009B2366"/>
    <w:rsid w:val="009B2550"/>
    <w:rsid w:val="009B30AC"/>
    <w:rsid w:val="009B3984"/>
    <w:rsid w:val="009B3C61"/>
    <w:rsid w:val="009B3D51"/>
    <w:rsid w:val="009B3F4F"/>
    <w:rsid w:val="009B4A50"/>
    <w:rsid w:val="009B4C77"/>
    <w:rsid w:val="009B51C4"/>
    <w:rsid w:val="009B5250"/>
    <w:rsid w:val="009B5F72"/>
    <w:rsid w:val="009B70AA"/>
    <w:rsid w:val="009B768A"/>
    <w:rsid w:val="009C013D"/>
    <w:rsid w:val="009C0A78"/>
    <w:rsid w:val="009C0B55"/>
    <w:rsid w:val="009C0D6E"/>
    <w:rsid w:val="009C13B9"/>
    <w:rsid w:val="009C1EF8"/>
    <w:rsid w:val="009C1F08"/>
    <w:rsid w:val="009C29E6"/>
    <w:rsid w:val="009C2FE7"/>
    <w:rsid w:val="009C371C"/>
    <w:rsid w:val="009C3F30"/>
    <w:rsid w:val="009C42C0"/>
    <w:rsid w:val="009C4480"/>
    <w:rsid w:val="009C45CB"/>
    <w:rsid w:val="009C5117"/>
    <w:rsid w:val="009C5195"/>
    <w:rsid w:val="009C53C0"/>
    <w:rsid w:val="009C5459"/>
    <w:rsid w:val="009C56AA"/>
    <w:rsid w:val="009C5888"/>
    <w:rsid w:val="009C5C36"/>
    <w:rsid w:val="009C6000"/>
    <w:rsid w:val="009C69B5"/>
    <w:rsid w:val="009C7062"/>
    <w:rsid w:val="009C72F6"/>
    <w:rsid w:val="009C73CA"/>
    <w:rsid w:val="009C754C"/>
    <w:rsid w:val="009C7D46"/>
    <w:rsid w:val="009D002F"/>
    <w:rsid w:val="009D040C"/>
    <w:rsid w:val="009D0629"/>
    <w:rsid w:val="009D0906"/>
    <w:rsid w:val="009D1733"/>
    <w:rsid w:val="009D197A"/>
    <w:rsid w:val="009D3544"/>
    <w:rsid w:val="009D3E91"/>
    <w:rsid w:val="009D4234"/>
    <w:rsid w:val="009D4C20"/>
    <w:rsid w:val="009D4C5D"/>
    <w:rsid w:val="009D63D0"/>
    <w:rsid w:val="009D66F7"/>
    <w:rsid w:val="009D68F6"/>
    <w:rsid w:val="009D7B2B"/>
    <w:rsid w:val="009D7CAC"/>
    <w:rsid w:val="009D7CAD"/>
    <w:rsid w:val="009D7D7F"/>
    <w:rsid w:val="009E02EF"/>
    <w:rsid w:val="009E0372"/>
    <w:rsid w:val="009E076D"/>
    <w:rsid w:val="009E1A90"/>
    <w:rsid w:val="009E21E1"/>
    <w:rsid w:val="009E2A7B"/>
    <w:rsid w:val="009E37E4"/>
    <w:rsid w:val="009E5316"/>
    <w:rsid w:val="009E5B0B"/>
    <w:rsid w:val="009E5F2E"/>
    <w:rsid w:val="009E5FCE"/>
    <w:rsid w:val="009E6622"/>
    <w:rsid w:val="009E6FC4"/>
    <w:rsid w:val="009F0D22"/>
    <w:rsid w:val="009F133E"/>
    <w:rsid w:val="009F1D02"/>
    <w:rsid w:val="009F1D54"/>
    <w:rsid w:val="009F2219"/>
    <w:rsid w:val="009F273F"/>
    <w:rsid w:val="009F2C83"/>
    <w:rsid w:val="009F2E74"/>
    <w:rsid w:val="009F3117"/>
    <w:rsid w:val="009F3C3B"/>
    <w:rsid w:val="009F3CAD"/>
    <w:rsid w:val="009F4369"/>
    <w:rsid w:val="009F44F4"/>
    <w:rsid w:val="009F54D1"/>
    <w:rsid w:val="009F56C6"/>
    <w:rsid w:val="009F56CB"/>
    <w:rsid w:val="009F59AA"/>
    <w:rsid w:val="009F5B14"/>
    <w:rsid w:val="009F5C8D"/>
    <w:rsid w:val="009F5D44"/>
    <w:rsid w:val="009F64C0"/>
    <w:rsid w:val="009F6DBA"/>
    <w:rsid w:val="009F734D"/>
    <w:rsid w:val="009F7721"/>
    <w:rsid w:val="009F7CBD"/>
    <w:rsid w:val="00A0032E"/>
    <w:rsid w:val="00A01146"/>
    <w:rsid w:val="00A01DA1"/>
    <w:rsid w:val="00A02139"/>
    <w:rsid w:val="00A024C5"/>
    <w:rsid w:val="00A033B0"/>
    <w:rsid w:val="00A04B3E"/>
    <w:rsid w:val="00A04E15"/>
    <w:rsid w:val="00A05DAB"/>
    <w:rsid w:val="00A05E3E"/>
    <w:rsid w:val="00A06090"/>
    <w:rsid w:val="00A06387"/>
    <w:rsid w:val="00A06834"/>
    <w:rsid w:val="00A07900"/>
    <w:rsid w:val="00A106F1"/>
    <w:rsid w:val="00A10CC9"/>
    <w:rsid w:val="00A10E03"/>
    <w:rsid w:val="00A10F5A"/>
    <w:rsid w:val="00A120DF"/>
    <w:rsid w:val="00A127C8"/>
    <w:rsid w:val="00A127EE"/>
    <w:rsid w:val="00A13156"/>
    <w:rsid w:val="00A135CE"/>
    <w:rsid w:val="00A1435A"/>
    <w:rsid w:val="00A143F9"/>
    <w:rsid w:val="00A1544D"/>
    <w:rsid w:val="00A15706"/>
    <w:rsid w:val="00A157C5"/>
    <w:rsid w:val="00A159A9"/>
    <w:rsid w:val="00A15A61"/>
    <w:rsid w:val="00A15B47"/>
    <w:rsid w:val="00A15BAD"/>
    <w:rsid w:val="00A1641C"/>
    <w:rsid w:val="00A166AE"/>
    <w:rsid w:val="00A16EF3"/>
    <w:rsid w:val="00A16F70"/>
    <w:rsid w:val="00A17A09"/>
    <w:rsid w:val="00A17C87"/>
    <w:rsid w:val="00A17F2C"/>
    <w:rsid w:val="00A20632"/>
    <w:rsid w:val="00A20AFA"/>
    <w:rsid w:val="00A218DD"/>
    <w:rsid w:val="00A22B20"/>
    <w:rsid w:val="00A22D39"/>
    <w:rsid w:val="00A2324D"/>
    <w:rsid w:val="00A23A25"/>
    <w:rsid w:val="00A23B6C"/>
    <w:rsid w:val="00A24CFC"/>
    <w:rsid w:val="00A24EB9"/>
    <w:rsid w:val="00A259EB"/>
    <w:rsid w:val="00A25D4B"/>
    <w:rsid w:val="00A267F5"/>
    <w:rsid w:val="00A26C16"/>
    <w:rsid w:val="00A273FD"/>
    <w:rsid w:val="00A27508"/>
    <w:rsid w:val="00A27582"/>
    <w:rsid w:val="00A30079"/>
    <w:rsid w:val="00A30508"/>
    <w:rsid w:val="00A3209D"/>
    <w:rsid w:val="00A32EE0"/>
    <w:rsid w:val="00A32F38"/>
    <w:rsid w:val="00A3373B"/>
    <w:rsid w:val="00A33DD6"/>
    <w:rsid w:val="00A34CCC"/>
    <w:rsid w:val="00A35030"/>
    <w:rsid w:val="00A353DF"/>
    <w:rsid w:val="00A3567E"/>
    <w:rsid w:val="00A35988"/>
    <w:rsid w:val="00A3695E"/>
    <w:rsid w:val="00A3793E"/>
    <w:rsid w:val="00A37B56"/>
    <w:rsid w:val="00A37F3E"/>
    <w:rsid w:val="00A40976"/>
    <w:rsid w:val="00A40EAD"/>
    <w:rsid w:val="00A4122E"/>
    <w:rsid w:val="00A41695"/>
    <w:rsid w:val="00A42AA8"/>
    <w:rsid w:val="00A42CE3"/>
    <w:rsid w:val="00A43028"/>
    <w:rsid w:val="00A43188"/>
    <w:rsid w:val="00A431EE"/>
    <w:rsid w:val="00A43A61"/>
    <w:rsid w:val="00A441A2"/>
    <w:rsid w:val="00A442EA"/>
    <w:rsid w:val="00A446C2"/>
    <w:rsid w:val="00A447B6"/>
    <w:rsid w:val="00A448EF"/>
    <w:rsid w:val="00A45104"/>
    <w:rsid w:val="00A460DE"/>
    <w:rsid w:val="00A463EB"/>
    <w:rsid w:val="00A466CE"/>
    <w:rsid w:val="00A4683B"/>
    <w:rsid w:val="00A468D4"/>
    <w:rsid w:val="00A469A2"/>
    <w:rsid w:val="00A46B01"/>
    <w:rsid w:val="00A4731E"/>
    <w:rsid w:val="00A47663"/>
    <w:rsid w:val="00A47CD1"/>
    <w:rsid w:val="00A47E8B"/>
    <w:rsid w:val="00A47ED1"/>
    <w:rsid w:val="00A51A1D"/>
    <w:rsid w:val="00A524F7"/>
    <w:rsid w:val="00A5265E"/>
    <w:rsid w:val="00A5308F"/>
    <w:rsid w:val="00A535A7"/>
    <w:rsid w:val="00A543EA"/>
    <w:rsid w:val="00A5450F"/>
    <w:rsid w:val="00A54862"/>
    <w:rsid w:val="00A54C48"/>
    <w:rsid w:val="00A54E7C"/>
    <w:rsid w:val="00A54F55"/>
    <w:rsid w:val="00A54F78"/>
    <w:rsid w:val="00A561DD"/>
    <w:rsid w:val="00A564E9"/>
    <w:rsid w:val="00A5685A"/>
    <w:rsid w:val="00A577E6"/>
    <w:rsid w:val="00A57821"/>
    <w:rsid w:val="00A60001"/>
    <w:rsid w:val="00A60366"/>
    <w:rsid w:val="00A61209"/>
    <w:rsid w:val="00A62A89"/>
    <w:rsid w:val="00A63F3C"/>
    <w:rsid w:val="00A6413A"/>
    <w:rsid w:val="00A64C64"/>
    <w:rsid w:val="00A651AA"/>
    <w:rsid w:val="00A65281"/>
    <w:rsid w:val="00A652B5"/>
    <w:rsid w:val="00A65BF8"/>
    <w:rsid w:val="00A66E88"/>
    <w:rsid w:val="00A6782C"/>
    <w:rsid w:val="00A67D68"/>
    <w:rsid w:val="00A7006C"/>
    <w:rsid w:val="00A70C2F"/>
    <w:rsid w:val="00A711BE"/>
    <w:rsid w:val="00A71943"/>
    <w:rsid w:val="00A71CD5"/>
    <w:rsid w:val="00A724DF"/>
    <w:rsid w:val="00A73210"/>
    <w:rsid w:val="00A73221"/>
    <w:rsid w:val="00A732FF"/>
    <w:rsid w:val="00A7455F"/>
    <w:rsid w:val="00A7497C"/>
    <w:rsid w:val="00A75066"/>
    <w:rsid w:val="00A7559E"/>
    <w:rsid w:val="00A756E4"/>
    <w:rsid w:val="00A760B9"/>
    <w:rsid w:val="00A76361"/>
    <w:rsid w:val="00A76768"/>
    <w:rsid w:val="00A76A23"/>
    <w:rsid w:val="00A772D0"/>
    <w:rsid w:val="00A8059D"/>
    <w:rsid w:val="00A80CBE"/>
    <w:rsid w:val="00A8132E"/>
    <w:rsid w:val="00A81841"/>
    <w:rsid w:val="00A818D0"/>
    <w:rsid w:val="00A81CDE"/>
    <w:rsid w:val="00A821E4"/>
    <w:rsid w:val="00A82265"/>
    <w:rsid w:val="00A82BEC"/>
    <w:rsid w:val="00A83091"/>
    <w:rsid w:val="00A84180"/>
    <w:rsid w:val="00A846EA"/>
    <w:rsid w:val="00A84B80"/>
    <w:rsid w:val="00A866AA"/>
    <w:rsid w:val="00A8671A"/>
    <w:rsid w:val="00A86C5C"/>
    <w:rsid w:val="00A86D5D"/>
    <w:rsid w:val="00A875AA"/>
    <w:rsid w:val="00A87A1F"/>
    <w:rsid w:val="00A905A4"/>
    <w:rsid w:val="00A90698"/>
    <w:rsid w:val="00A90787"/>
    <w:rsid w:val="00A909BC"/>
    <w:rsid w:val="00A90BF1"/>
    <w:rsid w:val="00A91189"/>
    <w:rsid w:val="00A9210E"/>
    <w:rsid w:val="00A927B0"/>
    <w:rsid w:val="00A93039"/>
    <w:rsid w:val="00A943D9"/>
    <w:rsid w:val="00A9473E"/>
    <w:rsid w:val="00A951D4"/>
    <w:rsid w:val="00A95D9E"/>
    <w:rsid w:val="00A95E9E"/>
    <w:rsid w:val="00A96823"/>
    <w:rsid w:val="00A96BDA"/>
    <w:rsid w:val="00A96D72"/>
    <w:rsid w:val="00A96E3E"/>
    <w:rsid w:val="00A96FA7"/>
    <w:rsid w:val="00A97148"/>
    <w:rsid w:val="00A977CE"/>
    <w:rsid w:val="00A97900"/>
    <w:rsid w:val="00AA0E3D"/>
    <w:rsid w:val="00AA198B"/>
    <w:rsid w:val="00AA1EC9"/>
    <w:rsid w:val="00AA2043"/>
    <w:rsid w:val="00AA2326"/>
    <w:rsid w:val="00AA2DAC"/>
    <w:rsid w:val="00AA2E61"/>
    <w:rsid w:val="00AA2FBF"/>
    <w:rsid w:val="00AA3833"/>
    <w:rsid w:val="00AA39C1"/>
    <w:rsid w:val="00AA40CE"/>
    <w:rsid w:val="00AA44E9"/>
    <w:rsid w:val="00AA4528"/>
    <w:rsid w:val="00AA496E"/>
    <w:rsid w:val="00AA4A77"/>
    <w:rsid w:val="00AA5309"/>
    <w:rsid w:val="00AA709C"/>
    <w:rsid w:val="00AA71D4"/>
    <w:rsid w:val="00AA74FE"/>
    <w:rsid w:val="00AA7731"/>
    <w:rsid w:val="00AA7C50"/>
    <w:rsid w:val="00AB0ADE"/>
    <w:rsid w:val="00AB1053"/>
    <w:rsid w:val="00AB112A"/>
    <w:rsid w:val="00AB1244"/>
    <w:rsid w:val="00AB1639"/>
    <w:rsid w:val="00AB179C"/>
    <w:rsid w:val="00AB3586"/>
    <w:rsid w:val="00AB4058"/>
    <w:rsid w:val="00AB4134"/>
    <w:rsid w:val="00AB443B"/>
    <w:rsid w:val="00AB4AE9"/>
    <w:rsid w:val="00AB4B88"/>
    <w:rsid w:val="00AB4D5C"/>
    <w:rsid w:val="00AB5D4A"/>
    <w:rsid w:val="00AB66D5"/>
    <w:rsid w:val="00AB6D62"/>
    <w:rsid w:val="00AB771E"/>
    <w:rsid w:val="00AB7F76"/>
    <w:rsid w:val="00AC13FB"/>
    <w:rsid w:val="00AC1975"/>
    <w:rsid w:val="00AC1BB1"/>
    <w:rsid w:val="00AC259E"/>
    <w:rsid w:val="00AC2873"/>
    <w:rsid w:val="00AC3117"/>
    <w:rsid w:val="00AC3317"/>
    <w:rsid w:val="00AC3633"/>
    <w:rsid w:val="00AC37B7"/>
    <w:rsid w:val="00AC491F"/>
    <w:rsid w:val="00AC4972"/>
    <w:rsid w:val="00AC4B4F"/>
    <w:rsid w:val="00AC5531"/>
    <w:rsid w:val="00AC553E"/>
    <w:rsid w:val="00AC5833"/>
    <w:rsid w:val="00AC5EBA"/>
    <w:rsid w:val="00AC6805"/>
    <w:rsid w:val="00AC68DC"/>
    <w:rsid w:val="00AC6A2C"/>
    <w:rsid w:val="00AC6F7B"/>
    <w:rsid w:val="00AC70D3"/>
    <w:rsid w:val="00AC71B1"/>
    <w:rsid w:val="00AC7715"/>
    <w:rsid w:val="00AC789C"/>
    <w:rsid w:val="00AC7F4D"/>
    <w:rsid w:val="00AC7F9D"/>
    <w:rsid w:val="00AD05A1"/>
    <w:rsid w:val="00AD16AA"/>
    <w:rsid w:val="00AD43F3"/>
    <w:rsid w:val="00AD4464"/>
    <w:rsid w:val="00AD5553"/>
    <w:rsid w:val="00AD57B2"/>
    <w:rsid w:val="00AD5BD2"/>
    <w:rsid w:val="00AD5E4B"/>
    <w:rsid w:val="00AD6DB6"/>
    <w:rsid w:val="00AD6EAC"/>
    <w:rsid w:val="00AD70FF"/>
    <w:rsid w:val="00AD7336"/>
    <w:rsid w:val="00AD7363"/>
    <w:rsid w:val="00AE0019"/>
    <w:rsid w:val="00AE0831"/>
    <w:rsid w:val="00AE08B9"/>
    <w:rsid w:val="00AE0EB4"/>
    <w:rsid w:val="00AE15C1"/>
    <w:rsid w:val="00AE1832"/>
    <w:rsid w:val="00AE1B17"/>
    <w:rsid w:val="00AE1B4F"/>
    <w:rsid w:val="00AE233D"/>
    <w:rsid w:val="00AE2648"/>
    <w:rsid w:val="00AE294C"/>
    <w:rsid w:val="00AE2A32"/>
    <w:rsid w:val="00AE2D64"/>
    <w:rsid w:val="00AE30C7"/>
    <w:rsid w:val="00AE3B19"/>
    <w:rsid w:val="00AE3D3F"/>
    <w:rsid w:val="00AE4597"/>
    <w:rsid w:val="00AE4921"/>
    <w:rsid w:val="00AE5039"/>
    <w:rsid w:val="00AE55A5"/>
    <w:rsid w:val="00AE73DD"/>
    <w:rsid w:val="00AF0D5C"/>
    <w:rsid w:val="00AF1899"/>
    <w:rsid w:val="00AF1F1D"/>
    <w:rsid w:val="00AF1F8E"/>
    <w:rsid w:val="00AF2677"/>
    <w:rsid w:val="00AF2D20"/>
    <w:rsid w:val="00AF2F1F"/>
    <w:rsid w:val="00AF45F5"/>
    <w:rsid w:val="00AF4AE3"/>
    <w:rsid w:val="00AF56B6"/>
    <w:rsid w:val="00AF5A19"/>
    <w:rsid w:val="00AF5CB4"/>
    <w:rsid w:val="00AF68AA"/>
    <w:rsid w:val="00AF70B0"/>
    <w:rsid w:val="00AF70BC"/>
    <w:rsid w:val="00AF73EA"/>
    <w:rsid w:val="00AF741B"/>
    <w:rsid w:val="00AF772C"/>
    <w:rsid w:val="00AF7E3C"/>
    <w:rsid w:val="00B01110"/>
    <w:rsid w:val="00B0124A"/>
    <w:rsid w:val="00B0125D"/>
    <w:rsid w:val="00B01420"/>
    <w:rsid w:val="00B014B0"/>
    <w:rsid w:val="00B01B60"/>
    <w:rsid w:val="00B025DE"/>
    <w:rsid w:val="00B02E2D"/>
    <w:rsid w:val="00B02F7F"/>
    <w:rsid w:val="00B030B4"/>
    <w:rsid w:val="00B036D7"/>
    <w:rsid w:val="00B0486C"/>
    <w:rsid w:val="00B051BC"/>
    <w:rsid w:val="00B053A9"/>
    <w:rsid w:val="00B06418"/>
    <w:rsid w:val="00B06564"/>
    <w:rsid w:val="00B06963"/>
    <w:rsid w:val="00B06EC3"/>
    <w:rsid w:val="00B070E8"/>
    <w:rsid w:val="00B0749C"/>
    <w:rsid w:val="00B07BD0"/>
    <w:rsid w:val="00B1058B"/>
    <w:rsid w:val="00B10A50"/>
    <w:rsid w:val="00B10C6A"/>
    <w:rsid w:val="00B11095"/>
    <w:rsid w:val="00B11804"/>
    <w:rsid w:val="00B11945"/>
    <w:rsid w:val="00B125A9"/>
    <w:rsid w:val="00B13432"/>
    <w:rsid w:val="00B1344E"/>
    <w:rsid w:val="00B138EE"/>
    <w:rsid w:val="00B13A1E"/>
    <w:rsid w:val="00B13A37"/>
    <w:rsid w:val="00B14ACF"/>
    <w:rsid w:val="00B14DC5"/>
    <w:rsid w:val="00B14E17"/>
    <w:rsid w:val="00B162EA"/>
    <w:rsid w:val="00B16434"/>
    <w:rsid w:val="00B2087B"/>
    <w:rsid w:val="00B209A0"/>
    <w:rsid w:val="00B21992"/>
    <w:rsid w:val="00B21C7D"/>
    <w:rsid w:val="00B21FEB"/>
    <w:rsid w:val="00B228E7"/>
    <w:rsid w:val="00B2362A"/>
    <w:rsid w:val="00B25040"/>
    <w:rsid w:val="00B2585A"/>
    <w:rsid w:val="00B25F51"/>
    <w:rsid w:val="00B26081"/>
    <w:rsid w:val="00B2661F"/>
    <w:rsid w:val="00B266D6"/>
    <w:rsid w:val="00B26B2A"/>
    <w:rsid w:val="00B27A18"/>
    <w:rsid w:val="00B27D15"/>
    <w:rsid w:val="00B3056D"/>
    <w:rsid w:val="00B30768"/>
    <w:rsid w:val="00B30C43"/>
    <w:rsid w:val="00B30E73"/>
    <w:rsid w:val="00B31556"/>
    <w:rsid w:val="00B319B4"/>
    <w:rsid w:val="00B31ECD"/>
    <w:rsid w:val="00B332FC"/>
    <w:rsid w:val="00B33C2B"/>
    <w:rsid w:val="00B33E31"/>
    <w:rsid w:val="00B33E4B"/>
    <w:rsid w:val="00B3402A"/>
    <w:rsid w:val="00B34440"/>
    <w:rsid w:val="00B34813"/>
    <w:rsid w:val="00B34D9D"/>
    <w:rsid w:val="00B355C6"/>
    <w:rsid w:val="00B35FDD"/>
    <w:rsid w:val="00B36789"/>
    <w:rsid w:val="00B367E1"/>
    <w:rsid w:val="00B36C47"/>
    <w:rsid w:val="00B36F49"/>
    <w:rsid w:val="00B37B4D"/>
    <w:rsid w:val="00B37FD7"/>
    <w:rsid w:val="00B402A6"/>
    <w:rsid w:val="00B41581"/>
    <w:rsid w:val="00B41697"/>
    <w:rsid w:val="00B41F31"/>
    <w:rsid w:val="00B42026"/>
    <w:rsid w:val="00B432F1"/>
    <w:rsid w:val="00B43831"/>
    <w:rsid w:val="00B439C6"/>
    <w:rsid w:val="00B446B7"/>
    <w:rsid w:val="00B446E9"/>
    <w:rsid w:val="00B44DB2"/>
    <w:rsid w:val="00B46674"/>
    <w:rsid w:val="00B469FA"/>
    <w:rsid w:val="00B46DE3"/>
    <w:rsid w:val="00B475D2"/>
    <w:rsid w:val="00B47E61"/>
    <w:rsid w:val="00B5296C"/>
    <w:rsid w:val="00B52A5C"/>
    <w:rsid w:val="00B55472"/>
    <w:rsid w:val="00B55C0F"/>
    <w:rsid w:val="00B55CD6"/>
    <w:rsid w:val="00B5668F"/>
    <w:rsid w:val="00B56D1D"/>
    <w:rsid w:val="00B572C0"/>
    <w:rsid w:val="00B57A0B"/>
    <w:rsid w:val="00B57B43"/>
    <w:rsid w:val="00B57DF0"/>
    <w:rsid w:val="00B6013C"/>
    <w:rsid w:val="00B60FA7"/>
    <w:rsid w:val="00B61A8E"/>
    <w:rsid w:val="00B61E46"/>
    <w:rsid w:val="00B61F3A"/>
    <w:rsid w:val="00B620F1"/>
    <w:rsid w:val="00B62735"/>
    <w:rsid w:val="00B62C8B"/>
    <w:rsid w:val="00B63849"/>
    <w:rsid w:val="00B63E44"/>
    <w:rsid w:val="00B64A70"/>
    <w:rsid w:val="00B65252"/>
    <w:rsid w:val="00B66234"/>
    <w:rsid w:val="00B66399"/>
    <w:rsid w:val="00B66445"/>
    <w:rsid w:val="00B66A13"/>
    <w:rsid w:val="00B670F5"/>
    <w:rsid w:val="00B67293"/>
    <w:rsid w:val="00B70224"/>
    <w:rsid w:val="00B71A3E"/>
    <w:rsid w:val="00B71CAB"/>
    <w:rsid w:val="00B722FC"/>
    <w:rsid w:val="00B7235C"/>
    <w:rsid w:val="00B7244A"/>
    <w:rsid w:val="00B72561"/>
    <w:rsid w:val="00B7259F"/>
    <w:rsid w:val="00B725C3"/>
    <w:rsid w:val="00B728B0"/>
    <w:rsid w:val="00B72B2F"/>
    <w:rsid w:val="00B734AA"/>
    <w:rsid w:val="00B735B4"/>
    <w:rsid w:val="00B74644"/>
    <w:rsid w:val="00B7535A"/>
    <w:rsid w:val="00B76B8E"/>
    <w:rsid w:val="00B778B8"/>
    <w:rsid w:val="00B77A4B"/>
    <w:rsid w:val="00B80358"/>
    <w:rsid w:val="00B804C1"/>
    <w:rsid w:val="00B81044"/>
    <w:rsid w:val="00B82371"/>
    <w:rsid w:val="00B8285A"/>
    <w:rsid w:val="00B83241"/>
    <w:rsid w:val="00B83809"/>
    <w:rsid w:val="00B83B6E"/>
    <w:rsid w:val="00B83C6A"/>
    <w:rsid w:val="00B8410C"/>
    <w:rsid w:val="00B84DF0"/>
    <w:rsid w:val="00B85CE9"/>
    <w:rsid w:val="00B86B07"/>
    <w:rsid w:val="00B86BC4"/>
    <w:rsid w:val="00B8746E"/>
    <w:rsid w:val="00B90ABF"/>
    <w:rsid w:val="00B911E0"/>
    <w:rsid w:val="00B9289C"/>
    <w:rsid w:val="00B928BE"/>
    <w:rsid w:val="00B92967"/>
    <w:rsid w:val="00B93365"/>
    <w:rsid w:val="00B93963"/>
    <w:rsid w:val="00B941A9"/>
    <w:rsid w:val="00B9471D"/>
    <w:rsid w:val="00B9497B"/>
    <w:rsid w:val="00B949B3"/>
    <w:rsid w:val="00B94AA3"/>
    <w:rsid w:val="00B94C47"/>
    <w:rsid w:val="00B94C62"/>
    <w:rsid w:val="00B94F34"/>
    <w:rsid w:val="00B9625C"/>
    <w:rsid w:val="00B963B4"/>
    <w:rsid w:val="00B96681"/>
    <w:rsid w:val="00B96833"/>
    <w:rsid w:val="00B96B35"/>
    <w:rsid w:val="00B97940"/>
    <w:rsid w:val="00BA03AA"/>
    <w:rsid w:val="00BA10DF"/>
    <w:rsid w:val="00BA13C2"/>
    <w:rsid w:val="00BA1494"/>
    <w:rsid w:val="00BA14BA"/>
    <w:rsid w:val="00BA187F"/>
    <w:rsid w:val="00BA193F"/>
    <w:rsid w:val="00BA1B96"/>
    <w:rsid w:val="00BA214C"/>
    <w:rsid w:val="00BA3094"/>
    <w:rsid w:val="00BA34E4"/>
    <w:rsid w:val="00BA35DC"/>
    <w:rsid w:val="00BA37FC"/>
    <w:rsid w:val="00BA3E87"/>
    <w:rsid w:val="00BA3ED3"/>
    <w:rsid w:val="00BA477C"/>
    <w:rsid w:val="00BA4D92"/>
    <w:rsid w:val="00BA5071"/>
    <w:rsid w:val="00BA5DB0"/>
    <w:rsid w:val="00BA5FDB"/>
    <w:rsid w:val="00BA617B"/>
    <w:rsid w:val="00BA7DDC"/>
    <w:rsid w:val="00BB13D5"/>
    <w:rsid w:val="00BB1A1F"/>
    <w:rsid w:val="00BB1C34"/>
    <w:rsid w:val="00BB28C5"/>
    <w:rsid w:val="00BB2A34"/>
    <w:rsid w:val="00BB32DD"/>
    <w:rsid w:val="00BB3631"/>
    <w:rsid w:val="00BB3DD9"/>
    <w:rsid w:val="00BB4203"/>
    <w:rsid w:val="00BB42CB"/>
    <w:rsid w:val="00BB443D"/>
    <w:rsid w:val="00BB4EE2"/>
    <w:rsid w:val="00BB5079"/>
    <w:rsid w:val="00BB546C"/>
    <w:rsid w:val="00BB5E60"/>
    <w:rsid w:val="00BB7298"/>
    <w:rsid w:val="00BB7BF5"/>
    <w:rsid w:val="00BB7EEA"/>
    <w:rsid w:val="00BC0688"/>
    <w:rsid w:val="00BC09FE"/>
    <w:rsid w:val="00BC0C8F"/>
    <w:rsid w:val="00BC1B49"/>
    <w:rsid w:val="00BC28DE"/>
    <w:rsid w:val="00BC2CD4"/>
    <w:rsid w:val="00BC2DDE"/>
    <w:rsid w:val="00BC3243"/>
    <w:rsid w:val="00BC3B17"/>
    <w:rsid w:val="00BC4187"/>
    <w:rsid w:val="00BC4FAE"/>
    <w:rsid w:val="00BC54AB"/>
    <w:rsid w:val="00BC589E"/>
    <w:rsid w:val="00BC5AA3"/>
    <w:rsid w:val="00BC6A8E"/>
    <w:rsid w:val="00BC6C7E"/>
    <w:rsid w:val="00BC6EF9"/>
    <w:rsid w:val="00BC7662"/>
    <w:rsid w:val="00BC76E0"/>
    <w:rsid w:val="00BC780C"/>
    <w:rsid w:val="00BC78A3"/>
    <w:rsid w:val="00BC7962"/>
    <w:rsid w:val="00BC7C6D"/>
    <w:rsid w:val="00BD0620"/>
    <w:rsid w:val="00BD098A"/>
    <w:rsid w:val="00BD12AE"/>
    <w:rsid w:val="00BD3118"/>
    <w:rsid w:val="00BD32C8"/>
    <w:rsid w:val="00BD5E1A"/>
    <w:rsid w:val="00BD6146"/>
    <w:rsid w:val="00BD6879"/>
    <w:rsid w:val="00BD68F3"/>
    <w:rsid w:val="00BD7CC8"/>
    <w:rsid w:val="00BD7FEC"/>
    <w:rsid w:val="00BE02A5"/>
    <w:rsid w:val="00BE0539"/>
    <w:rsid w:val="00BE055B"/>
    <w:rsid w:val="00BE089D"/>
    <w:rsid w:val="00BE1179"/>
    <w:rsid w:val="00BE1434"/>
    <w:rsid w:val="00BE1B33"/>
    <w:rsid w:val="00BE1DC9"/>
    <w:rsid w:val="00BE26DC"/>
    <w:rsid w:val="00BE30F8"/>
    <w:rsid w:val="00BE3FB6"/>
    <w:rsid w:val="00BE4265"/>
    <w:rsid w:val="00BE43C7"/>
    <w:rsid w:val="00BE457B"/>
    <w:rsid w:val="00BE4DA8"/>
    <w:rsid w:val="00BE4FA9"/>
    <w:rsid w:val="00BE4FAD"/>
    <w:rsid w:val="00BE66FA"/>
    <w:rsid w:val="00BE6C44"/>
    <w:rsid w:val="00BE6E9B"/>
    <w:rsid w:val="00BE70ED"/>
    <w:rsid w:val="00BE7D24"/>
    <w:rsid w:val="00BF069F"/>
    <w:rsid w:val="00BF17ED"/>
    <w:rsid w:val="00BF1D19"/>
    <w:rsid w:val="00BF1D60"/>
    <w:rsid w:val="00BF21B4"/>
    <w:rsid w:val="00BF3522"/>
    <w:rsid w:val="00BF385B"/>
    <w:rsid w:val="00BF42BB"/>
    <w:rsid w:val="00BF47A0"/>
    <w:rsid w:val="00BF4AA5"/>
    <w:rsid w:val="00BF4D52"/>
    <w:rsid w:val="00BF55B9"/>
    <w:rsid w:val="00BF57E6"/>
    <w:rsid w:val="00BF69F6"/>
    <w:rsid w:val="00BF6F0B"/>
    <w:rsid w:val="00BF6F79"/>
    <w:rsid w:val="00BF71B2"/>
    <w:rsid w:val="00BF774F"/>
    <w:rsid w:val="00BF79E6"/>
    <w:rsid w:val="00BF7E8E"/>
    <w:rsid w:val="00C00049"/>
    <w:rsid w:val="00C00767"/>
    <w:rsid w:val="00C011CE"/>
    <w:rsid w:val="00C01E6C"/>
    <w:rsid w:val="00C02049"/>
    <w:rsid w:val="00C02CDC"/>
    <w:rsid w:val="00C02EAA"/>
    <w:rsid w:val="00C02EBC"/>
    <w:rsid w:val="00C04226"/>
    <w:rsid w:val="00C04B43"/>
    <w:rsid w:val="00C04C81"/>
    <w:rsid w:val="00C069A2"/>
    <w:rsid w:val="00C06D69"/>
    <w:rsid w:val="00C070CC"/>
    <w:rsid w:val="00C07201"/>
    <w:rsid w:val="00C0746E"/>
    <w:rsid w:val="00C10800"/>
    <w:rsid w:val="00C10D61"/>
    <w:rsid w:val="00C10E1A"/>
    <w:rsid w:val="00C10F7C"/>
    <w:rsid w:val="00C11701"/>
    <w:rsid w:val="00C11C20"/>
    <w:rsid w:val="00C12009"/>
    <w:rsid w:val="00C12507"/>
    <w:rsid w:val="00C1350E"/>
    <w:rsid w:val="00C13BD6"/>
    <w:rsid w:val="00C15DFD"/>
    <w:rsid w:val="00C1649E"/>
    <w:rsid w:val="00C1658C"/>
    <w:rsid w:val="00C17182"/>
    <w:rsid w:val="00C175E6"/>
    <w:rsid w:val="00C175F7"/>
    <w:rsid w:val="00C205B4"/>
    <w:rsid w:val="00C205C3"/>
    <w:rsid w:val="00C20697"/>
    <w:rsid w:val="00C20EB0"/>
    <w:rsid w:val="00C21389"/>
    <w:rsid w:val="00C2148E"/>
    <w:rsid w:val="00C21BD9"/>
    <w:rsid w:val="00C2227D"/>
    <w:rsid w:val="00C22876"/>
    <w:rsid w:val="00C22ADE"/>
    <w:rsid w:val="00C23DFB"/>
    <w:rsid w:val="00C2472C"/>
    <w:rsid w:val="00C25B9C"/>
    <w:rsid w:val="00C25DF4"/>
    <w:rsid w:val="00C26240"/>
    <w:rsid w:val="00C263C1"/>
    <w:rsid w:val="00C26CEA"/>
    <w:rsid w:val="00C26FB1"/>
    <w:rsid w:val="00C2710E"/>
    <w:rsid w:val="00C2783D"/>
    <w:rsid w:val="00C301D3"/>
    <w:rsid w:val="00C30240"/>
    <w:rsid w:val="00C30A1A"/>
    <w:rsid w:val="00C310DA"/>
    <w:rsid w:val="00C31405"/>
    <w:rsid w:val="00C31B66"/>
    <w:rsid w:val="00C3265C"/>
    <w:rsid w:val="00C332A0"/>
    <w:rsid w:val="00C336EB"/>
    <w:rsid w:val="00C33944"/>
    <w:rsid w:val="00C33A51"/>
    <w:rsid w:val="00C34B3B"/>
    <w:rsid w:val="00C34C60"/>
    <w:rsid w:val="00C35200"/>
    <w:rsid w:val="00C355C7"/>
    <w:rsid w:val="00C35D7C"/>
    <w:rsid w:val="00C36122"/>
    <w:rsid w:val="00C362B7"/>
    <w:rsid w:val="00C368B4"/>
    <w:rsid w:val="00C3725A"/>
    <w:rsid w:val="00C37FCB"/>
    <w:rsid w:val="00C40831"/>
    <w:rsid w:val="00C40E25"/>
    <w:rsid w:val="00C416AA"/>
    <w:rsid w:val="00C429F3"/>
    <w:rsid w:val="00C42BDC"/>
    <w:rsid w:val="00C42C13"/>
    <w:rsid w:val="00C42C3D"/>
    <w:rsid w:val="00C42C85"/>
    <w:rsid w:val="00C42FDE"/>
    <w:rsid w:val="00C431E7"/>
    <w:rsid w:val="00C441C4"/>
    <w:rsid w:val="00C44AAD"/>
    <w:rsid w:val="00C44C5F"/>
    <w:rsid w:val="00C44DF8"/>
    <w:rsid w:val="00C44FCF"/>
    <w:rsid w:val="00C4580E"/>
    <w:rsid w:val="00C4590A"/>
    <w:rsid w:val="00C45D02"/>
    <w:rsid w:val="00C46176"/>
    <w:rsid w:val="00C462BE"/>
    <w:rsid w:val="00C468C5"/>
    <w:rsid w:val="00C4718B"/>
    <w:rsid w:val="00C50BE5"/>
    <w:rsid w:val="00C50F4E"/>
    <w:rsid w:val="00C51BAD"/>
    <w:rsid w:val="00C5235E"/>
    <w:rsid w:val="00C524A5"/>
    <w:rsid w:val="00C53388"/>
    <w:rsid w:val="00C5393F"/>
    <w:rsid w:val="00C53ACD"/>
    <w:rsid w:val="00C54498"/>
    <w:rsid w:val="00C547A7"/>
    <w:rsid w:val="00C55342"/>
    <w:rsid w:val="00C560BE"/>
    <w:rsid w:val="00C5626B"/>
    <w:rsid w:val="00C571DC"/>
    <w:rsid w:val="00C57A37"/>
    <w:rsid w:val="00C57D90"/>
    <w:rsid w:val="00C6042A"/>
    <w:rsid w:val="00C60D58"/>
    <w:rsid w:val="00C613B9"/>
    <w:rsid w:val="00C61412"/>
    <w:rsid w:val="00C62882"/>
    <w:rsid w:val="00C631F7"/>
    <w:rsid w:val="00C63F73"/>
    <w:rsid w:val="00C63FE8"/>
    <w:rsid w:val="00C640A7"/>
    <w:rsid w:val="00C64BD4"/>
    <w:rsid w:val="00C65A36"/>
    <w:rsid w:val="00C65E0D"/>
    <w:rsid w:val="00C65E7E"/>
    <w:rsid w:val="00C66569"/>
    <w:rsid w:val="00C666A1"/>
    <w:rsid w:val="00C66A67"/>
    <w:rsid w:val="00C66B1B"/>
    <w:rsid w:val="00C70739"/>
    <w:rsid w:val="00C7092F"/>
    <w:rsid w:val="00C712B2"/>
    <w:rsid w:val="00C725F7"/>
    <w:rsid w:val="00C7278D"/>
    <w:rsid w:val="00C727CF"/>
    <w:rsid w:val="00C72B64"/>
    <w:rsid w:val="00C732B1"/>
    <w:rsid w:val="00C73360"/>
    <w:rsid w:val="00C73761"/>
    <w:rsid w:val="00C73F3F"/>
    <w:rsid w:val="00C740C3"/>
    <w:rsid w:val="00C74167"/>
    <w:rsid w:val="00C741EC"/>
    <w:rsid w:val="00C7421F"/>
    <w:rsid w:val="00C747FE"/>
    <w:rsid w:val="00C75831"/>
    <w:rsid w:val="00C759B7"/>
    <w:rsid w:val="00C75B9F"/>
    <w:rsid w:val="00C763EE"/>
    <w:rsid w:val="00C76CE8"/>
    <w:rsid w:val="00C76D71"/>
    <w:rsid w:val="00C77851"/>
    <w:rsid w:val="00C77AA3"/>
    <w:rsid w:val="00C77B71"/>
    <w:rsid w:val="00C80479"/>
    <w:rsid w:val="00C80954"/>
    <w:rsid w:val="00C80A13"/>
    <w:rsid w:val="00C80CC0"/>
    <w:rsid w:val="00C81E06"/>
    <w:rsid w:val="00C8217D"/>
    <w:rsid w:val="00C823CD"/>
    <w:rsid w:val="00C8261A"/>
    <w:rsid w:val="00C82F5A"/>
    <w:rsid w:val="00C833B5"/>
    <w:rsid w:val="00C83F4A"/>
    <w:rsid w:val="00C840BF"/>
    <w:rsid w:val="00C84592"/>
    <w:rsid w:val="00C84974"/>
    <w:rsid w:val="00C85849"/>
    <w:rsid w:val="00C86C04"/>
    <w:rsid w:val="00C87436"/>
    <w:rsid w:val="00C87A58"/>
    <w:rsid w:val="00C900C8"/>
    <w:rsid w:val="00C903D1"/>
    <w:rsid w:val="00C9068D"/>
    <w:rsid w:val="00C908B1"/>
    <w:rsid w:val="00C90DEC"/>
    <w:rsid w:val="00C911C7"/>
    <w:rsid w:val="00C91299"/>
    <w:rsid w:val="00C91A90"/>
    <w:rsid w:val="00C920E9"/>
    <w:rsid w:val="00C922CC"/>
    <w:rsid w:val="00C9279B"/>
    <w:rsid w:val="00C9306C"/>
    <w:rsid w:val="00C93351"/>
    <w:rsid w:val="00C947D2"/>
    <w:rsid w:val="00C954E9"/>
    <w:rsid w:val="00C95580"/>
    <w:rsid w:val="00C95C7E"/>
    <w:rsid w:val="00C95D37"/>
    <w:rsid w:val="00C961D4"/>
    <w:rsid w:val="00C9684A"/>
    <w:rsid w:val="00C97981"/>
    <w:rsid w:val="00CA05A0"/>
    <w:rsid w:val="00CA05D6"/>
    <w:rsid w:val="00CA0DEF"/>
    <w:rsid w:val="00CA10B5"/>
    <w:rsid w:val="00CA1321"/>
    <w:rsid w:val="00CA1957"/>
    <w:rsid w:val="00CA19CA"/>
    <w:rsid w:val="00CA2625"/>
    <w:rsid w:val="00CA35B9"/>
    <w:rsid w:val="00CA3BB9"/>
    <w:rsid w:val="00CA3F3E"/>
    <w:rsid w:val="00CA423E"/>
    <w:rsid w:val="00CA4A14"/>
    <w:rsid w:val="00CA4D31"/>
    <w:rsid w:val="00CA5073"/>
    <w:rsid w:val="00CA5915"/>
    <w:rsid w:val="00CA60BD"/>
    <w:rsid w:val="00CA64CA"/>
    <w:rsid w:val="00CA660A"/>
    <w:rsid w:val="00CA748C"/>
    <w:rsid w:val="00CA7840"/>
    <w:rsid w:val="00CA78D5"/>
    <w:rsid w:val="00CA7A97"/>
    <w:rsid w:val="00CA7B42"/>
    <w:rsid w:val="00CB160F"/>
    <w:rsid w:val="00CB277E"/>
    <w:rsid w:val="00CB307C"/>
    <w:rsid w:val="00CB41A7"/>
    <w:rsid w:val="00CB45AC"/>
    <w:rsid w:val="00CB4793"/>
    <w:rsid w:val="00CB5197"/>
    <w:rsid w:val="00CB53CD"/>
    <w:rsid w:val="00CB55F2"/>
    <w:rsid w:val="00CB5736"/>
    <w:rsid w:val="00CB5B08"/>
    <w:rsid w:val="00CB60A1"/>
    <w:rsid w:val="00CB6230"/>
    <w:rsid w:val="00CB6A19"/>
    <w:rsid w:val="00CC07E1"/>
    <w:rsid w:val="00CC0EB1"/>
    <w:rsid w:val="00CC11D1"/>
    <w:rsid w:val="00CC1FFD"/>
    <w:rsid w:val="00CC2312"/>
    <w:rsid w:val="00CC290B"/>
    <w:rsid w:val="00CC2C83"/>
    <w:rsid w:val="00CC2D86"/>
    <w:rsid w:val="00CC2E49"/>
    <w:rsid w:val="00CC3449"/>
    <w:rsid w:val="00CC3897"/>
    <w:rsid w:val="00CC3CD5"/>
    <w:rsid w:val="00CC3E85"/>
    <w:rsid w:val="00CC3F6E"/>
    <w:rsid w:val="00CC41DF"/>
    <w:rsid w:val="00CC5FFC"/>
    <w:rsid w:val="00CC6B18"/>
    <w:rsid w:val="00CC6CE2"/>
    <w:rsid w:val="00CC74B9"/>
    <w:rsid w:val="00CD0E3E"/>
    <w:rsid w:val="00CD10F9"/>
    <w:rsid w:val="00CD15BB"/>
    <w:rsid w:val="00CD1713"/>
    <w:rsid w:val="00CD19BD"/>
    <w:rsid w:val="00CD1CA2"/>
    <w:rsid w:val="00CD2475"/>
    <w:rsid w:val="00CD2671"/>
    <w:rsid w:val="00CD29B8"/>
    <w:rsid w:val="00CD2C15"/>
    <w:rsid w:val="00CD2DEE"/>
    <w:rsid w:val="00CD33A3"/>
    <w:rsid w:val="00CD35DF"/>
    <w:rsid w:val="00CD37A3"/>
    <w:rsid w:val="00CD3827"/>
    <w:rsid w:val="00CD3A8D"/>
    <w:rsid w:val="00CD44FA"/>
    <w:rsid w:val="00CD4D1A"/>
    <w:rsid w:val="00CD53A8"/>
    <w:rsid w:val="00CD5B02"/>
    <w:rsid w:val="00CD5C3D"/>
    <w:rsid w:val="00CD6234"/>
    <w:rsid w:val="00CD649A"/>
    <w:rsid w:val="00CD7675"/>
    <w:rsid w:val="00CE1033"/>
    <w:rsid w:val="00CE2E10"/>
    <w:rsid w:val="00CE30F1"/>
    <w:rsid w:val="00CE35A2"/>
    <w:rsid w:val="00CE38A5"/>
    <w:rsid w:val="00CE3FA4"/>
    <w:rsid w:val="00CE4530"/>
    <w:rsid w:val="00CE47A4"/>
    <w:rsid w:val="00CE4B55"/>
    <w:rsid w:val="00CE4E62"/>
    <w:rsid w:val="00CE5AAF"/>
    <w:rsid w:val="00CE60AF"/>
    <w:rsid w:val="00CE624D"/>
    <w:rsid w:val="00CE66C7"/>
    <w:rsid w:val="00CE6B87"/>
    <w:rsid w:val="00CE7302"/>
    <w:rsid w:val="00CE7798"/>
    <w:rsid w:val="00CF0A34"/>
    <w:rsid w:val="00CF0BEC"/>
    <w:rsid w:val="00CF0C3F"/>
    <w:rsid w:val="00CF15FC"/>
    <w:rsid w:val="00CF17AE"/>
    <w:rsid w:val="00CF1866"/>
    <w:rsid w:val="00CF1968"/>
    <w:rsid w:val="00CF1F07"/>
    <w:rsid w:val="00CF23DA"/>
    <w:rsid w:val="00CF2CB4"/>
    <w:rsid w:val="00CF304A"/>
    <w:rsid w:val="00CF323B"/>
    <w:rsid w:val="00CF3E26"/>
    <w:rsid w:val="00CF40D8"/>
    <w:rsid w:val="00CF4825"/>
    <w:rsid w:val="00CF4B29"/>
    <w:rsid w:val="00CF4D70"/>
    <w:rsid w:val="00CF68D2"/>
    <w:rsid w:val="00CF7FD3"/>
    <w:rsid w:val="00D008D7"/>
    <w:rsid w:val="00D00F37"/>
    <w:rsid w:val="00D019C7"/>
    <w:rsid w:val="00D01A96"/>
    <w:rsid w:val="00D02620"/>
    <w:rsid w:val="00D02EC9"/>
    <w:rsid w:val="00D03708"/>
    <w:rsid w:val="00D043A0"/>
    <w:rsid w:val="00D04578"/>
    <w:rsid w:val="00D05A95"/>
    <w:rsid w:val="00D0612C"/>
    <w:rsid w:val="00D0716B"/>
    <w:rsid w:val="00D07EDF"/>
    <w:rsid w:val="00D10454"/>
    <w:rsid w:val="00D1051B"/>
    <w:rsid w:val="00D10839"/>
    <w:rsid w:val="00D10B10"/>
    <w:rsid w:val="00D11FE4"/>
    <w:rsid w:val="00D1259C"/>
    <w:rsid w:val="00D127FD"/>
    <w:rsid w:val="00D12C08"/>
    <w:rsid w:val="00D12C78"/>
    <w:rsid w:val="00D12D76"/>
    <w:rsid w:val="00D13246"/>
    <w:rsid w:val="00D1353D"/>
    <w:rsid w:val="00D13BB1"/>
    <w:rsid w:val="00D1427C"/>
    <w:rsid w:val="00D14540"/>
    <w:rsid w:val="00D14630"/>
    <w:rsid w:val="00D14904"/>
    <w:rsid w:val="00D15470"/>
    <w:rsid w:val="00D1636F"/>
    <w:rsid w:val="00D1637B"/>
    <w:rsid w:val="00D1638C"/>
    <w:rsid w:val="00D165B5"/>
    <w:rsid w:val="00D1691F"/>
    <w:rsid w:val="00D1699E"/>
    <w:rsid w:val="00D16C76"/>
    <w:rsid w:val="00D16CD6"/>
    <w:rsid w:val="00D20122"/>
    <w:rsid w:val="00D2067B"/>
    <w:rsid w:val="00D20796"/>
    <w:rsid w:val="00D21020"/>
    <w:rsid w:val="00D21346"/>
    <w:rsid w:val="00D229B6"/>
    <w:rsid w:val="00D22FCB"/>
    <w:rsid w:val="00D2300B"/>
    <w:rsid w:val="00D23103"/>
    <w:rsid w:val="00D24148"/>
    <w:rsid w:val="00D241B7"/>
    <w:rsid w:val="00D24533"/>
    <w:rsid w:val="00D2521E"/>
    <w:rsid w:val="00D25663"/>
    <w:rsid w:val="00D27528"/>
    <w:rsid w:val="00D2763D"/>
    <w:rsid w:val="00D3060E"/>
    <w:rsid w:val="00D309BE"/>
    <w:rsid w:val="00D309DD"/>
    <w:rsid w:val="00D31343"/>
    <w:rsid w:val="00D31645"/>
    <w:rsid w:val="00D31A6B"/>
    <w:rsid w:val="00D3278D"/>
    <w:rsid w:val="00D32AEE"/>
    <w:rsid w:val="00D333EB"/>
    <w:rsid w:val="00D3385D"/>
    <w:rsid w:val="00D34A8A"/>
    <w:rsid w:val="00D34E7C"/>
    <w:rsid w:val="00D350DE"/>
    <w:rsid w:val="00D3516B"/>
    <w:rsid w:val="00D3532C"/>
    <w:rsid w:val="00D3608D"/>
    <w:rsid w:val="00D36D1C"/>
    <w:rsid w:val="00D372F7"/>
    <w:rsid w:val="00D37597"/>
    <w:rsid w:val="00D376CA"/>
    <w:rsid w:val="00D37830"/>
    <w:rsid w:val="00D37F57"/>
    <w:rsid w:val="00D4073D"/>
    <w:rsid w:val="00D40DA9"/>
    <w:rsid w:val="00D410C2"/>
    <w:rsid w:val="00D418C3"/>
    <w:rsid w:val="00D4204D"/>
    <w:rsid w:val="00D422A4"/>
    <w:rsid w:val="00D42BEA"/>
    <w:rsid w:val="00D42CC4"/>
    <w:rsid w:val="00D4404B"/>
    <w:rsid w:val="00D44365"/>
    <w:rsid w:val="00D44656"/>
    <w:rsid w:val="00D44EC1"/>
    <w:rsid w:val="00D44F38"/>
    <w:rsid w:val="00D453B3"/>
    <w:rsid w:val="00D4583B"/>
    <w:rsid w:val="00D45A30"/>
    <w:rsid w:val="00D45D6C"/>
    <w:rsid w:val="00D46555"/>
    <w:rsid w:val="00D46D3C"/>
    <w:rsid w:val="00D46DDE"/>
    <w:rsid w:val="00D47BAD"/>
    <w:rsid w:val="00D501C7"/>
    <w:rsid w:val="00D5046D"/>
    <w:rsid w:val="00D50866"/>
    <w:rsid w:val="00D516E3"/>
    <w:rsid w:val="00D52E61"/>
    <w:rsid w:val="00D5300C"/>
    <w:rsid w:val="00D5385A"/>
    <w:rsid w:val="00D546CF"/>
    <w:rsid w:val="00D54702"/>
    <w:rsid w:val="00D55471"/>
    <w:rsid w:val="00D55D5F"/>
    <w:rsid w:val="00D560C6"/>
    <w:rsid w:val="00D56B0E"/>
    <w:rsid w:val="00D572F6"/>
    <w:rsid w:val="00D576BB"/>
    <w:rsid w:val="00D57D1D"/>
    <w:rsid w:val="00D601B4"/>
    <w:rsid w:val="00D60423"/>
    <w:rsid w:val="00D609AF"/>
    <w:rsid w:val="00D60D41"/>
    <w:rsid w:val="00D612B2"/>
    <w:rsid w:val="00D61CD4"/>
    <w:rsid w:val="00D62296"/>
    <w:rsid w:val="00D6231E"/>
    <w:rsid w:val="00D624EF"/>
    <w:rsid w:val="00D62D66"/>
    <w:rsid w:val="00D633B4"/>
    <w:rsid w:val="00D648BE"/>
    <w:rsid w:val="00D65EDE"/>
    <w:rsid w:val="00D661DA"/>
    <w:rsid w:val="00D6710E"/>
    <w:rsid w:val="00D67828"/>
    <w:rsid w:val="00D67F15"/>
    <w:rsid w:val="00D70158"/>
    <w:rsid w:val="00D7090B"/>
    <w:rsid w:val="00D71642"/>
    <w:rsid w:val="00D717D7"/>
    <w:rsid w:val="00D720CB"/>
    <w:rsid w:val="00D72B59"/>
    <w:rsid w:val="00D72F0E"/>
    <w:rsid w:val="00D732B5"/>
    <w:rsid w:val="00D73BD1"/>
    <w:rsid w:val="00D74117"/>
    <w:rsid w:val="00D74365"/>
    <w:rsid w:val="00D748BD"/>
    <w:rsid w:val="00D75A91"/>
    <w:rsid w:val="00D76087"/>
    <w:rsid w:val="00D76CD3"/>
    <w:rsid w:val="00D77729"/>
    <w:rsid w:val="00D77E2F"/>
    <w:rsid w:val="00D8165E"/>
    <w:rsid w:val="00D819F1"/>
    <w:rsid w:val="00D82EBB"/>
    <w:rsid w:val="00D83007"/>
    <w:rsid w:val="00D83BB0"/>
    <w:rsid w:val="00D8406F"/>
    <w:rsid w:val="00D848C4"/>
    <w:rsid w:val="00D8547B"/>
    <w:rsid w:val="00D859DC"/>
    <w:rsid w:val="00D865AF"/>
    <w:rsid w:val="00D8663E"/>
    <w:rsid w:val="00D869BF"/>
    <w:rsid w:val="00D8731A"/>
    <w:rsid w:val="00D90E4D"/>
    <w:rsid w:val="00D90FD4"/>
    <w:rsid w:val="00D90FF1"/>
    <w:rsid w:val="00D91159"/>
    <w:rsid w:val="00D92508"/>
    <w:rsid w:val="00D92668"/>
    <w:rsid w:val="00D9282E"/>
    <w:rsid w:val="00D9289B"/>
    <w:rsid w:val="00D93441"/>
    <w:rsid w:val="00D93657"/>
    <w:rsid w:val="00D9373A"/>
    <w:rsid w:val="00D93BB3"/>
    <w:rsid w:val="00D942CA"/>
    <w:rsid w:val="00D9468F"/>
    <w:rsid w:val="00D94701"/>
    <w:rsid w:val="00D9477A"/>
    <w:rsid w:val="00D9531D"/>
    <w:rsid w:val="00D9532A"/>
    <w:rsid w:val="00D95D47"/>
    <w:rsid w:val="00D96504"/>
    <w:rsid w:val="00D96867"/>
    <w:rsid w:val="00D96FAB"/>
    <w:rsid w:val="00D971C0"/>
    <w:rsid w:val="00D979A6"/>
    <w:rsid w:val="00D97BE4"/>
    <w:rsid w:val="00DA0077"/>
    <w:rsid w:val="00DA03FA"/>
    <w:rsid w:val="00DA041A"/>
    <w:rsid w:val="00DA0EF6"/>
    <w:rsid w:val="00DA0FD8"/>
    <w:rsid w:val="00DA1BBE"/>
    <w:rsid w:val="00DA2BE9"/>
    <w:rsid w:val="00DA39F2"/>
    <w:rsid w:val="00DA3BF4"/>
    <w:rsid w:val="00DA4564"/>
    <w:rsid w:val="00DA49B3"/>
    <w:rsid w:val="00DA4A8C"/>
    <w:rsid w:val="00DA4FA9"/>
    <w:rsid w:val="00DA507E"/>
    <w:rsid w:val="00DA541A"/>
    <w:rsid w:val="00DA6447"/>
    <w:rsid w:val="00DA665C"/>
    <w:rsid w:val="00DB010E"/>
    <w:rsid w:val="00DB0665"/>
    <w:rsid w:val="00DB0BF2"/>
    <w:rsid w:val="00DB0D56"/>
    <w:rsid w:val="00DB0F2F"/>
    <w:rsid w:val="00DB1EBB"/>
    <w:rsid w:val="00DB24FA"/>
    <w:rsid w:val="00DB2D9A"/>
    <w:rsid w:val="00DB2F7F"/>
    <w:rsid w:val="00DB3743"/>
    <w:rsid w:val="00DB3A4A"/>
    <w:rsid w:val="00DB3BC5"/>
    <w:rsid w:val="00DB3F0F"/>
    <w:rsid w:val="00DB448F"/>
    <w:rsid w:val="00DB4666"/>
    <w:rsid w:val="00DB4ECD"/>
    <w:rsid w:val="00DB4FC5"/>
    <w:rsid w:val="00DB5AE4"/>
    <w:rsid w:val="00DB750C"/>
    <w:rsid w:val="00DB79EB"/>
    <w:rsid w:val="00DB7D6C"/>
    <w:rsid w:val="00DB7F2F"/>
    <w:rsid w:val="00DC0324"/>
    <w:rsid w:val="00DC08F9"/>
    <w:rsid w:val="00DC091C"/>
    <w:rsid w:val="00DC098F"/>
    <w:rsid w:val="00DC12C8"/>
    <w:rsid w:val="00DC14B5"/>
    <w:rsid w:val="00DC1592"/>
    <w:rsid w:val="00DC2783"/>
    <w:rsid w:val="00DC305D"/>
    <w:rsid w:val="00DC3573"/>
    <w:rsid w:val="00DC3FB2"/>
    <w:rsid w:val="00DC4598"/>
    <w:rsid w:val="00DC4ACB"/>
    <w:rsid w:val="00DC5E8C"/>
    <w:rsid w:val="00DC5F4C"/>
    <w:rsid w:val="00DC609A"/>
    <w:rsid w:val="00DC691B"/>
    <w:rsid w:val="00DC6EA8"/>
    <w:rsid w:val="00DC6EB7"/>
    <w:rsid w:val="00DC75EE"/>
    <w:rsid w:val="00DC7791"/>
    <w:rsid w:val="00DC7B57"/>
    <w:rsid w:val="00DD1120"/>
    <w:rsid w:val="00DD11AE"/>
    <w:rsid w:val="00DD169F"/>
    <w:rsid w:val="00DD1996"/>
    <w:rsid w:val="00DD1F56"/>
    <w:rsid w:val="00DD27C2"/>
    <w:rsid w:val="00DD3824"/>
    <w:rsid w:val="00DD4521"/>
    <w:rsid w:val="00DD4CD0"/>
    <w:rsid w:val="00DD5455"/>
    <w:rsid w:val="00DD56EA"/>
    <w:rsid w:val="00DD6636"/>
    <w:rsid w:val="00DD6F1B"/>
    <w:rsid w:val="00DD7AE4"/>
    <w:rsid w:val="00DD7B71"/>
    <w:rsid w:val="00DE0585"/>
    <w:rsid w:val="00DE06C8"/>
    <w:rsid w:val="00DE144C"/>
    <w:rsid w:val="00DE2DF6"/>
    <w:rsid w:val="00DE3042"/>
    <w:rsid w:val="00DE35D2"/>
    <w:rsid w:val="00DE3B03"/>
    <w:rsid w:val="00DE3B10"/>
    <w:rsid w:val="00DE3B98"/>
    <w:rsid w:val="00DE498D"/>
    <w:rsid w:val="00DE4CDE"/>
    <w:rsid w:val="00DE4D97"/>
    <w:rsid w:val="00DE4F1B"/>
    <w:rsid w:val="00DE5732"/>
    <w:rsid w:val="00DE59F0"/>
    <w:rsid w:val="00DE5B85"/>
    <w:rsid w:val="00DE5C7A"/>
    <w:rsid w:val="00DE5CBB"/>
    <w:rsid w:val="00DE6529"/>
    <w:rsid w:val="00DE7636"/>
    <w:rsid w:val="00DE7D4A"/>
    <w:rsid w:val="00DF0430"/>
    <w:rsid w:val="00DF151B"/>
    <w:rsid w:val="00DF16EC"/>
    <w:rsid w:val="00DF1F32"/>
    <w:rsid w:val="00DF2D0C"/>
    <w:rsid w:val="00DF3076"/>
    <w:rsid w:val="00DF36DC"/>
    <w:rsid w:val="00DF3C8E"/>
    <w:rsid w:val="00DF3FBB"/>
    <w:rsid w:val="00DF41F7"/>
    <w:rsid w:val="00DF5108"/>
    <w:rsid w:val="00DF5B52"/>
    <w:rsid w:val="00DF62ED"/>
    <w:rsid w:val="00DF651E"/>
    <w:rsid w:val="00DF6715"/>
    <w:rsid w:val="00DF6778"/>
    <w:rsid w:val="00DF79C4"/>
    <w:rsid w:val="00E00B1B"/>
    <w:rsid w:val="00E010E3"/>
    <w:rsid w:val="00E01429"/>
    <w:rsid w:val="00E01AB0"/>
    <w:rsid w:val="00E03B1C"/>
    <w:rsid w:val="00E03D9A"/>
    <w:rsid w:val="00E047EB"/>
    <w:rsid w:val="00E04D9F"/>
    <w:rsid w:val="00E0638E"/>
    <w:rsid w:val="00E07569"/>
    <w:rsid w:val="00E07979"/>
    <w:rsid w:val="00E10A0C"/>
    <w:rsid w:val="00E10D6E"/>
    <w:rsid w:val="00E10DE4"/>
    <w:rsid w:val="00E10FB4"/>
    <w:rsid w:val="00E10FE9"/>
    <w:rsid w:val="00E113BA"/>
    <w:rsid w:val="00E11545"/>
    <w:rsid w:val="00E11E51"/>
    <w:rsid w:val="00E11EE2"/>
    <w:rsid w:val="00E12285"/>
    <w:rsid w:val="00E122F9"/>
    <w:rsid w:val="00E131B9"/>
    <w:rsid w:val="00E13974"/>
    <w:rsid w:val="00E139DB"/>
    <w:rsid w:val="00E13E1C"/>
    <w:rsid w:val="00E13EA9"/>
    <w:rsid w:val="00E14057"/>
    <w:rsid w:val="00E148CF"/>
    <w:rsid w:val="00E14CAB"/>
    <w:rsid w:val="00E1505F"/>
    <w:rsid w:val="00E16C74"/>
    <w:rsid w:val="00E16D02"/>
    <w:rsid w:val="00E17516"/>
    <w:rsid w:val="00E176A4"/>
    <w:rsid w:val="00E17819"/>
    <w:rsid w:val="00E17928"/>
    <w:rsid w:val="00E17A3C"/>
    <w:rsid w:val="00E206D6"/>
    <w:rsid w:val="00E20F32"/>
    <w:rsid w:val="00E211D0"/>
    <w:rsid w:val="00E21C99"/>
    <w:rsid w:val="00E223A7"/>
    <w:rsid w:val="00E22792"/>
    <w:rsid w:val="00E23431"/>
    <w:rsid w:val="00E24118"/>
    <w:rsid w:val="00E24537"/>
    <w:rsid w:val="00E24A6E"/>
    <w:rsid w:val="00E24DEE"/>
    <w:rsid w:val="00E25216"/>
    <w:rsid w:val="00E258E9"/>
    <w:rsid w:val="00E261B3"/>
    <w:rsid w:val="00E26D90"/>
    <w:rsid w:val="00E272BA"/>
    <w:rsid w:val="00E273A8"/>
    <w:rsid w:val="00E277DF"/>
    <w:rsid w:val="00E27DDF"/>
    <w:rsid w:val="00E30020"/>
    <w:rsid w:val="00E3027C"/>
    <w:rsid w:val="00E302F5"/>
    <w:rsid w:val="00E3098C"/>
    <w:rsid w:val="00E30B94"/>
    <w:rsid w:val="00E30BC8"/>
    <w:rsid w:val="00E31037"/>
    <w:rsid w:val="00E312A5"/>
    <w:rsid w:val="00E316D5"/>
    <w:rsid w:val="00E31797"/>
    <w:rsid w:val="00E329A9"/>
    <w:rsid w:val="00E32BF4"/>
    <w:rsid w:val="00E32CF3"/>
    <w:rsid w:val="00E33243"/>
    <w:rsid w:val="00E33A9A"/>
    <w:rsid w:val="00E34A4B"/>
    <w:rsid w:val="00E34B6D"/>
    <w:rsid w:val="00E34B8F"/>
    <w:rsid w:val="00E34C51"/>
    <w:rsid w:val="00E34FF9"/>
    <w:rsid w:val="00E352E6"/>
    <w:rsid w:val="00E3580F"/>
    <w:rsid w:val="00E35856"/>
    <w:rsid w:val="00E358B5"/>
    <w:rsid w:val="00E35D5D"/>
    <w:rsid w:val="00E361D7"/>
    <w:rsid w:val="00E36871"/>
    <w:rsid w:val="00E36D57"/>
    <w:rsid w:val="00E36E32"/>
    <w:rsid w:val="00E375A1"/>
    <w:rsid w:val="00E3779F"/>
    <w:rsid w:val="00E37C31"/>
    <w:rsid w:val="00E37D98"/>
    <w:rsid w:val="00E40617"/>
    <w:rsid w:val="00E40BD5"/>
    <w:rsid w:val="00E41166"/>
    <w:rsid w:val="00E41396"/>
    <w:rsid w:val="00E416FB"/>
    <w:rsid w:val="00E42221"/>
    <w:rsid w:val="00E42981"/>
    <w:rsid w:val="00E42B68"/>
    <w:rsid w:val="00E43081"/>
    <w:rsid w:val="00E43574"/>
    <w:rsid w:val="00E43D71"/>
    <w:rsid w:val="00E44233"/>
    <w:rsid w:val="00E44463"/>
    <w:rsid w:val="00E44904"/>
    <w:rsid w:val="00E4492B"/>
    <w:rsid w:val="00E44F71"/>
    <w:rsid w:val="00E4573C"/>
    <w:rsid w:val="00E45C6B"/>
    <w:rsid w:val="00E46117"/>
    <w:rsid w:val="00E46C35"/>
    <w:rsid w:val="00E46F32"/>
    <w:rsid w:val="00E476D7"/>
    <w:rsid w:val="00E47EAE"/>
    <w:rsid w:val="00E50620"/>
    <w:rsid w:val="00E51397"/>
    <w:rsid w:val="00E51409"/>
    <w:rsid w:val="00E51AEF"/>
    <w:rsid w:val="00E52032"/>
    <w:rsid w:val="00E52887"/>
    <w:rsid w:val="00E52952"/>
    <w:rsid w:val="00E531E5"/>
    <w:rsid w:val="00E53ABF"/>
    <w:rsid w:val="00E546E4"/>
    <w:rsid w:val="00E54E68"/>
    <w:rsid w:val="00E55BD3"/>
    <w:rsid w:val="00E55EF0"/>
    <w:rsid w:val="00E5660F"/>
    <w:rsid w:val="00E57981"/>
    <w:rsid w:val="00E6074F"/>
    <w:rsid w:val="00E61064"/>
    <w:rsid w:val="00E611FE"/>
    <w:rsid w:val="00E6199E"/>
    <w:rsid w:val="00E62239"/>
    <w:rsid w:val="00E626DC"/>
    <w:rsid w:val="00E62AAC"/>
    <w:rsid w:val="00E62C96"/>
    <w:rsid w:val="00E63ED6"/>
    <w:rsid w:val="00E64360"/>
    <w:rsid w:val="00E6464F"/>
    <w:rsid w:val="00E64B62"/>
    <w:rsid w:val="00E64D66"/>
    <w:rsid w:val="00E64E3C"/>
    <w:rsid w:val="00E652C2"/>
    <w:rsid w:val="00E654A1"/>
    <w:rsid w:val="00E655B7"/>
    <w:rsid w:val="00E65A92"/>
    <w:rsid w:val="00E65BFC"/>
    <w:rsid w:val="00E66E66"/>
    <w:rsid w:val="00E67462"/>
    <w:rsid w:val="00E67944"/>
    <w:rsid w:val="00E70224"/>
    <w:rsid w:val="00E70AD1"/>
    <w:rsid w:val="00E71E2E"/>
    <w:rsid w:val="00E7317D"/>
    <w:rsid w:val="00E7332F"/>
    <w:rsid w:val="00E73927"/>
    <w:rsid w:val="00E74358"/>
    <w:rsid w:val="00E7479A"/>
    <w:rsid w:val="00E74FDD"/>
    <w:rsid w:val="00E7542C"/>
    <w:rsid w:val="00E75733"/>
    <w:rsid w:val="00E76AC0"/>
    <w:rsid w:val="00E774B7"/>
    <w:rsid w:val="00E80197"/>
    <w:rsid w:val="00E80417"/>
    <w:rsid w:val="00E8096E"/>
    <w:rsid w:val="00E80F3C"/>
    <w:rsid w:val="00E81095"/>
    <w:rsid w:val="00E81636"/>
    <w:rsid w:val="00E81998"/>
    <w:rsid w:val="00E81E94"/>
    <w:rsid w:val="00E82132"/>
    <w:rsid w:val="00E83025"/>
    <w:rsid w:val="00E84024"/>
    <w:rsid w:val="00E843EF"/>
    <w:rsid w:val="00E85339"/>
    <w:rsid w:val="00E85740"/>
    <w:rsid w:val="00E86482"/>
    <w:rsid w:val="00E872A3"/>
    <w:rsid w:val="00E9000A"/>
    <w:rsid w:val="00E905D6"/>
    <w:rsid w:val="00E9070A"/>
    <w:rsid w:val="00E91281"/>
    <w:rsid w:val="00E915AE"/>
    <w:rsid w:val="00E91D34"/>
    <w:rsid w:val="00E922A0"/>
    <w:rsid w:val="00E92573"/>
    <w:rsid w:val="00E9320F"/>
    <w:rsid w:val="00E9330B"/>
    <w:rsid w:val="00E933FF"/>
    <w:rsid w:val="00E9345C"/>
    <w:rsid w:val="00E942F4"/>
    <w:rsid w:val="00E947D6"/>
    <w:rsid w:val="00E950E5"/>
    <w:rsid w:val="00E95661"/>
    <w:rsid w:val="00E95B4C"/>
    <w:rsid w:val="00E964BC"/>
    <w:rsid w:val="00E96643"/>
    <w:rsid w:val="00E96869"/>
    <w:rsid w:val="00E969E9"/>
    <w:rsid w:val="00E96DD7"/>
    <w:rsid w:val="00E97BAE"/>
    <w:rsid w:val="00E97EEA"/>
    <w:rsid w:val="00EA0057"/>
    <w:rsid w:val="00EA022D"/>
    <w:rsid w:val="00EA0356"/>
    <w:rsid w:val="00EA0742"/>
    <w:rsid w:val="00EA0C7F"/>
    <w:rsid w:val="00EA0EBB"/>
    <w:rsid w:val="00EA114E"/>
    <w:rsid w:val="00EA17F9"/>
    <w:rsid w:val="00EA18C7"/>
    <w:rsid w:val="00EA2372"/>
    <w:rsid w:val="00EA2818"/>
    <w:rsid w:val="00EA2BD7"/>
    <w:rsid w:val="00EA2C45"/>
    <w:rsid w:val="00EA3AC8"/>
    <w:rsid w:val="00EA4760"/>
    <w:rsid w:val="00EA4E56"/>
    <w:rsid w:val="00EA5078"/>
    <w:rsid w:val="00EA51F2"/>
    <w:rsid w:val="00EA5355"/>
    <w:rsid w:val="00EA60EB"/>
    <w:rsid w:val="00EA643A"/>
    <w:rsid w:val="00EA6CF4"/>
    <w:rsid w:val="00EA7025"/>
    <w:rsid w:val="00EB06DD"/>
    <w:rsid w:val="00EB087F"/>
    <w:rsid w:val="00EB08DF"/>
    <w:rsid w:val="00EB0B94"/>
    <w:rsid w:val="00EB1375"/>
    <w:rsid w:val="00EB1699"/>
    <w:rsid w:val="00EB188B"/>
    <w:rsid w:val="00EB1EF0"/>
    <w:rsid w:val="00EB1F8E"/>
    <w:rsid w:val="00EB205E"/>
    <w:rsid w:val="00EB281A"/>
    <w:rsid w:val="00EB28AF"/>
    <w:rsid w:val="00EB28B5"/>
    <w:rsid w:val="00EB28DC"/>
    <w:rsid w:val="00EB2A16"/>
    <w:rsid w:val="00EB3035"/>
    <w:rsid w:val="00EB4084"/>
    <w:rsid w:val="00EB4789"/>
    <w:rsid w:val="00EB557A"/>
    <w:rsid w:val="00EB55C2"/>
    <w:rsid w:val="00EB5BF8"/>
    <w:rsid w:val="00EB5CEA"/>
    <w:rsid w:val="00EB62AF"/>
    <w:rsid w:val="00EB6DA2"/>
    <w:rsid w:val="00EB6EA1"/>
    <w:rsid w:val="00EB7907"/>
    <w:rsid w:val="00EB7B17"/>
    <w:rsid w:val="00EB7ECB"/>
    <w:rsid w:val="00EC0A82"/>
    <w:rsid w:val="00EC1523"/>
    <w:rsid w:val="00EC2275"/>
    <w:rsid w:val="00EC2386"/>
    <w:rsid w:val="00EC2C0F"/>
    <w:rsid w:val="00EC2D23"/>
    <w:rsid w:val="00EC2D3F"/>
    <w:rsid w:val="00EC2E88"/>
    <w:rsid w:val="00EC3BAC"/>
    <w:rsid w:val="00EC4691"/>
    <w:rsid w:val="00EC4D42"/>
    <w:rsid w:val="00EC5460"/>
    <w:rsid w:val="00EC57BA"/>
    <w:rsid w:val="00EC609A"/>
    <w:rsid w:val="00EC6266"/>
    <w:rsid w:val="00EC6589"/>
    <w:rsid w:val="00EC778D"/>
    <w:rsid w:val="00ED0A29"/>
    <w:rsid w:val="00ED109B"/>
    <w:rsid w:val="00ED2AC2"/>
    <w:rsid w:val="00ED304D"/>
    <w:rsid w:val="00ED3411"/>
    <w:rsid w:val="00ED41B4"/>
    <w:rsid w:val="00ED49A3"/>
    <w:rsid w:val="00ED4B09"/>
    <w:rsid w:val="00ED595B"/>
    <w:rsid w:val="00ED5ABA"/>
    <w:rsid w:val="00ED5EEE"/>
    <w:rsid w:val="00ED6523"/>
    <w:rsid w:val="00ED6CA2"/>
    <w:rsid w:val="00ED7012"/>
    <w:rsid w:val="00ED7B8B"/>
    <w:rsid w:val="00ED7D3B"/>
    <w:rsid w:val="00EE0314"/>
    <w:rsid w:val="00EE08DF"/>
    <w:rsid w:val="00EE1FA3"/>
    <w:rsid w:val="00EE2376"/>
    <w:rsid w:val="00EE29E6"/>
    <w:rsid w:val="00EE2CB4"/>
    <w:rsid w:val="00EE3138"/>
    <w:rsid w:val="00EE3192"/>
    <w:rsid w:val="00EE376F"/>
    <w:rsid w:val="00EE41D0"/>
    <w:rsid w:val="00EE4333"/>
    <w:rsid w:val="00EE4799"/>
    <w:rsid w:val="00EE4A47"/>
    <w:rsid w:val="00EE5348"/>
    <w:rsid w:val="00EE5A32"/>
    <w:rsid w:val="00EE636B"/>
    <w:rsid w:val="00EE6BD8"/>
    <w:rsid w:val="00EE7A02"/>
    <w:rsid w:val="00EF002E"/>
    <w:rsid w:val="00EF0AA3"/>
    <w:rsid w:val="00EF0C36"/>
    <w:rsid w:val="00EF0C8C"/>
    <w:rsid w:val="00EF10BE"/>
    <w:rsid w:val="00EF11E4"/>
    <w:rsid w:val="00EF1A86"/>
    <w:rsid w:val="00EF239D"/>
    <w:rsid w:val="00EF33C7"/>
    <w:rsid w:val="00EF36CB"/>
    <w:rsid w:val="00EF4C7C"/>
    <w:rsid w:val="00EF4E88"/>
    <w:rsid w:val="00EF515F"/>
    <w:rsid w:val="00EF55A9"/>
    <w:rsid w:val="00EF564F"/>
    <w:rsid w:val="00EF679B"/>
    <w:rsid w:val="00EF7042"/>
    <w:rsid w:val="00EF75D6"/>
    <w:rsid w:val="00EF7C57"/>
    <w:rsid w:val="00F00385"/>
    <w:rsid w:val="00F003B8"/>
    <w:rsid w:val="00F005F9"/>
    <w:rsid w:val="00F00611"/>
    <w:rsid w:val="00F009E5"/>
    <w:rsid w:val="00F01DEE"/>
    <w:rsid w:val="00F02630"/>
    <w:rsid w:val="00F02738"/>
    <w:rsid w:val="00F02C44"/>
    <w:rsid w:val="00F02D8A"/>
    <w:rsid w:val="00F034C5"/>
    <w:rsid w:val="00F03F02"/>
    <w:rsid w:val="00F04012"/>
    <w:rsid w:val="00F04814"/>
    <w:rsid w:val="00F050F0"/>
    <w:rsid w:val="00F06291"/>
    <w:rsid w:val="00F11071"/>
    <w:rsid w:val="00F11DB3"/>
    <w:rsid w:val="00F12D85"/>
    <w:rsid w:val="00F12F71"/>
    <w:rsid w:val="00F139C2"/>
    <w:rsid w:val="00F13F8A"/>
    <w:rsid w:val="00F15701"/>
    <w:rsid w:val="00F15E42"/>
    <w:rsid w:val="00F162C9"/>
    <w:rsid w:val="00F169CE"/>
    <w:rsid w:val="00F1701E"/>
    <w:rsid w:val="00F17126"/>
    <w:rsid w:val="00F1718D"/>
    <w:rsid w:val="00F17F6B"/>
    <w:rsid w:val="00F206B9"/>
    <w:rsid w:val="00F2141A"/>
    <w:rsid w:val="00F21DAE"/>
    <w:rsid w:val="00F2227F"/>
    <w:rsid w:val="00F22D2B"/>
    <w:rsid w:val="00F230B7"/>
    <w:rsid w:val="00F23206"/>
    <w:rsid w:val="00F2406A"/>
    <w:rsid w:val="00F2433F"/>
    <w:rsid w:val="00F24A37"/>
    <w:rsid w:val="00F24CC1"/>
    <w:rsid w:val="00F25071"/>
    <w:rsid w:val="00F25648"/>
    <w:rsid w:val="00F256CA"/>
    <w:rsid w:val="00F25F5C"/>
    <w:rsid w:val="00F2620C"/>
    <w:rsid w:val="00F273B8"/>
    <w:rsid w:val="00F27518"/>
    <w:rsid w:val="00F30B9F"/>
    <w:rsid w:val="00F314A0"/>
    <w:rsid w:val="00F3233C"/>
    <w:rsid w:val="00F32491"/>
    <w:rsid w:val="00F32FC0"/>
    <w:rsid w:val="00F331C3"/>
    <w:rsid w:val="00F34670"/>
    <w:rsid w:val="00F34A13"/>
    <w:rsid w:val="00F34AE5"/>
    <w:rsid w:val="00F353EA"/>
    <w:rsid w:val="00F357AB"/>
    <w:rsid w:val="00F35D10"/>
    <w:rsid w:val="00F36BF6"/>
    <w:rsid w:val="00F36DCF"/>
    <w:rsid w:val="00F36E02"/>
    <w:rsid w:val="00F36FCE"/>
    <w:rsid w:val="00F3738C"/>
    <w:rsid w:val="00F413F3"/>
    <w:rsid w:val="00F42601"/>
    <w:rsid w:val="00F43E00"/>
    <w:rsid w:val="00F440D8"/>
    <w:rsid w:val="00F45D66"/>
    <w:rsid w:val="00F45E9A"/>
    <w:rsid w:val="00F460FB"/>
    <w:rsid w:val="00F465D6"/>
    <w:rsid w:val="00F466ED"/>
    <w:rsid w:val="00F46E70"/>
    <w:rsid w:val="00F47670"/>
    <w:rsid w:val="00F47E1F"/>
    <w:rsid w:val="00F50854"/>
    <w:rsid w:val="00F50D01"/>
    <w:rsid w:val="00F51370"/>
    <w:rsid w:val="00F513CF"/>
    <w:rsid w:val="00F51B72"/>
    <w:rsid w:val="00F51CB6"/>
    <w:rsid w:val="00F51F3D"/>
    <w:rsid w:val="00F525AD"/>
    <w:rsid w:val="00F52DFA"/>
    <w:rsid w:val="00F538B1"/>
    <w:rsid w:val="00F53E55"/>
    <w:rsid w:val="00F54FA7"/>
    <w:rsid w:val="00F54FC8"/>
    <w:rsid w:val="00F555F1"/>
    <w:rsid w:val="00F55824"/>
    <w:rsid w:val="00F558FA"/>
    <w:rsid w:val="00F559E5"/>
    <w:rsid w:val="00F55AFD"/>
    <w:rsid w:val="00F55FBE"/>
    <w:rsid w:val="00F56275"/>
    <w:rsid w:val="00F57085"/>
    <w:rsid w:val="00F570C7"/>
    <w:rsid w:val="00F60102"/>
    <w:rsid w:val="00F614F7"/>
    <w:rsid w:val="00F61745"/>
    <w:rsid w:val="00F617BB"/>
    <w:rsid w:val="00F624ED"/>
    <w:rsid w:val="00F62AE9"/>
    <w:rsid w:val="00F62E6D"/>
    <w:rsid w:val="00F634F8"/>
    <w:rsid w:val="00F63668"/>
    <w:rsid w:val="00F6381C"/>
    <w:rsid w:val="00F63CA1"/>
    <w:rsid w:val="00F65033"/>
    <w:rsid w:val="00F658DD"/>
    <w:rsid w:val="00F661BF"/>
    <w:rsid w:val="00F6649E"/>
    <w:rsid w:val="00F6656A"/>
    <w:rsid w:val="00F66CBF"/>
    <w:rsid w:val="00F671D7"/>
    <w:rsid w:val="00F67271"/>
    <w:rsid w:val="00F674D2"/>
    <w:rsid w:val="00F676DA"/>
    <w:rsid w:val="00F6775C"/>
    <w:rsid w:val="00F7032C"/>
    <w:rsid w:val="00F70ED2"/>
    <w:rsid w:val="00F714B6"/>
    <w:rsid w:val="00F7169F"/>
    <w:rsid w:val="00F71872"/>
    <w:rsid w:val="00F71D67"/>
    <w:rsid w:val="00F721D0"/>
    <w:rsid w:val="00F72FFE"/>
    <w:rsid w:val="00F73177"/>
    <w:rsid w:val="00F73A0A"/>
    <w:rsid w:val="00F740C4"/>
    <w:rsid w:val="00F745F7"/>
    <w:rsid w:val="00F7511D"/>
    <w:rsid w:val="00F7594A"/>
    <w:rsid w:val="00F7620B"/>
    <w:rsid w:val="00F7622C"/>
    <w:rsid w:val="00F762A0"/>
    <w:rsid w:val="00F76368"/>
    <w:rsid w:val="00F76685"/>
    <w:rsid w:val="00F76855"/>
    <w:rsid w:val="00F768D5"/>
    <w:rsid w:val="00F76EEE"/>
    <w:rsid w:val="00F774F0"/>
    <w:rsid w:val="00F777F7"/>
    <w:rsid w:val="00F77D47"/>
    <w:rsid w:val="00F8048A"/>
    <w:rsid w:val="00F80775"/>
    <w:rsid w:val="00F80B0D"/>
    <w:rsid w:val="00F80D9C"/>
    <w:rsid w:val="00F80FC6"/>
    <w:rsid w:val="00F8135F"/>
    <w:rsid w:val="00F81B2D"/>
    <w:rsid w:val="00F81EDD"/>
    <w:rsid w:val="00F82271"/>
    <w:rsid w:val="00F82ED5"/>
    <w:rsid w:val="00F8320A"/>
    <w:rsid w:val="00F84498"/>
    <w:rsid w:val="00F849C4"/>
    <w:rsid w:val="00F84A36"/>
    <w:rsid w:val="00F84D3F"/>
    <w:rsid w:val="00F85105"/>
    <w:rsid w:val="00F86B37"/>
    <w:rsid w:val="00F86E04"/>
    <w:rsid w:val="00F87044"/>
    <w:rsid w:val="00F87D1E"/>
    <w:rsid w:val="00F90B0A"/>
    <w:rsid w:val="00F9149B"/>
    <w:rsid w:val="00F91BED"/>
    <w:rsid w:val="00F921BB"/>
    <w:rsid w:val="00F9234E"/>
    <w:rsid w:val="00F92A2E"/>
    <w:rsid w:val="00F931A8"/>
    <w:rsid w:val="00F93686"/>
    <w:rsid w:val="00F95072"/>
    <w:rsid w:val="00F952F0"/>
    <w:rsid w:val="00F954EB"/>
    <w:rsid w:val="00F95E6D"/>
    <w:rsid w:val="00F968E5"/>
    <w:rsid w:val="00F96BFF"/>
    <w:rsid w:val="00FA0310"/>
    <w:rsid w:val="00FA0A56"/>
    <w:rsid w:val="00FA0BA0"/>
    <w:rsid w:val="00FA0E42"/>
    <w:rsid w:val="00FA1D2B"/>
    <w:rsid w:val="00FA217B"/>
    <w:rsid w:val="00FA2299"/>
    <w:rsid w:val="00FA2598"/>
    <w:rsid w:val="00FA2ECE"/>
    <w:rsid w:val="00FA2F40"/>
    <w:rsid w:val="00FA40B1"/>
    <w:rsid w:val="00FA42C1"/>
    <w:rsid w:val="00FA431F"/>
    <w:rsid w:val="00FA4902"/>
    <w:rsid w:val="00FA4F62"/>
    <w:rsid w:val="00FA5520"/>
    <w:rsid w:val="00FA5779"/>
    <w:rsid w:val="00FA588E"/>
    <w:rsid w:val="00FA5C81"/>
    <w:rsid w:val="00FA629E"/>
    <w:rsid w:val="00FA6501"/>
    <w:rsid w:val="00FA6BDA"/>
    <w:rsid w:val="00FA7185"/>
    <w:rsid w:val="00FA7369"/>
    <w:rsid w:val="00FA78CB"/>
    <w:rsid w:val="00FA7B1A"/>
    <w:rsid w:val="00FB00B9"/>
    <w:rsid w:val="00FB238F"/>
    <w:rsid w:val="00FB289C"/>
    <w:rsid w:val="00FB2A2E"/>
    <w:rsid w:val="00FB2B08"/>
    <w:rsid w:val="00FB2F36"/>
    <w:rsid w:val="00FB32BB"/>
    <w:rsid w:val="00FB4058"/>
    <w:rsid w:val="00FB4177"/>
    <w:rsid w:val="00FB4CEA"/>
    <w:rsid w:val="00FB4F37"/>
    <w:rsid w:val="00FB56ED"/>
    <w:rsid w:val="00FB57BE"/>
    <w:rsid w:val="00FB5E2A"/>
    <w:rsid w:val="00FB5F54"/>
    <w:rsid w:val="00FB5FB5"/>
    <w:rsid w:val="00FB607D"/>
    <w:rsid w:val="00FB60C2"/>
    <w:rsid w:val="00FB6245"/>
    <w:rsid w:val="00FB6A64"/>
    <w:rsid w:val="00FB6BB9"/>
    <w:rsid w:val="00FB702E"/>
    <w:rsid w:val="00FB72B2"/>
    <w:rsid w:val="00FB7634"/>
    <w:rsid w:val="00FB7A53"/>
    <w:rsid w:val="00FC0E80"/>
    <w:rsid w:val="00FC15F3"/>
    <w:rsid w:val="00FC454E"/>
    <w:rsid w:val="00FC45DD"/>
    <w:rsid w:val="00FC4AF3"/>
    <w:rsid w:val="00FC50E8"/>
    <w:rsid w:val="00FC63A5"/>
    <w:rsid w:val="00FC6D71"/>
    <w:rsid w:val="00FD02ED"/>
    <w:rsid w:val="00FD1579"/>
    <w:rsid w:val="00FD1780"/>
    <w:rsid w:val="00FD1BA4"/>
    <w:rsid w:val="00FD1BB3"/>
    <w:rsid w:val="00FD1D2A"/>
    <w:rsid w:val="00FD22DE"/>
    <w:rsid w:val="00FD29A5"/>
    <w:rsid w:val="00FD32CB"/>
    <w:rsid w:val="00FD4CD8"/>
    <w:rsid w:val="00FD5494"/>
    <w:rsid w:val="00FD5AC3"/>
    <w:rsid w:val="00FD5EEC"/>
    <w:rsid w:val="00FD5F04"/>
    <w:rsid w:val="00FD690C"/>
    <w:rsid w:val="00FD6D17"/>
    <w:rsid w:val="00FD70A8"/>
    <w:rsid w:val="00FD75C0"/>
    <w:rsid w:val="00FE071B"/>
    <w:rsid w:val="00FE0939"/>
    <w:rsid w:val="00FE104F"/>
    <w:rsid w:val="00FE15DB"/>
    <w:rsid w:val="00FE1CE6"/>
    <w:rsid w:val="00FE2608"/>
    <w:rsid w:val="00FE28FE"/>
    <w:rsid w:val="00FE320D"/>
    <w:rsid w:val="00FE3A6B"/>
    <w:rsid w:val="00FE3E9B"/>
    <w:rsid w:val="00FE4566"/>
    <w:rsid w:val="00FE45BB"/>
    <w:rsid w:val="00FE4A95"/>
    <w:rsid w:val="00FE4CAC"/>
    <w:rsid w:val="00FE552B"/>
    <w:rsid w:val="00FE5BE9"/>
    <w:rsid w:val="00FE6519"/>
    <w:rsid w:val="00FE682F"/>
    <w:rsid w:val="00FE7BD6"/>
    <w:rsid w:val="00FE7C4F"/>
    <w:rsid w:val="00FF0E0E"/>
    <w:rsid w:val="00FF147D"/>
    <w:rsid w:val="00FF1B6A"/>
    <w:rsid w:val="00FF1B8D"/>
    <w:rsid w:val="00FF2863"/>
    <w:rsid w:val="00FF2884"/>
    <w:rsid w:val="00FF3022"/>
    <w:rsid w:val="00FF31D5"/>
    <w:rsid w:val="00FF3B44"/>
    <w:rsid w:val="00FF4EAE"/>
    <w:rsid w:val="00FF5115"/>
    <w:rsid w:val="00FF557D"/>
    <w:rsid w:val="00FF63DB"/>
    <w:rsid w:val="00FF6631"/>
    <w:rsid w:val="00FF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none [663]" stroke="f" strokecolor="none [3204]">
      <v:fill color="none [663]" color2="none [3204]"/>
      <v:stroke color="none [3204]" weight="1pt" on="f"/>
      <v:shadow type="perspective" color="none [1604]" offset="1pt" offset2="-3pt"/>
    </o:shapedefaults>
    <o:shapelayout v:ext="edit">
      <o:idmap v:ext="edit" data="1"/>
    </o:shapelayout>
  </w:shapeDefaults>
  <w:decimalSymbol w:val="."/>
  <w:listSeparator w:val=","/>
  <w15:docId w15:val="{DA40C870-B266-4CB1-B01A-E175CB3C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25"/>
    <w:rPr>
      <w:sz w:val="24"/>
      <w:szCs w:val="24"/>
      <w:lang w:eastAsia="en-US"/>
    </w:rPr>
  </w:style>
  <w:style w:type="paragraph" w:styleId="Heading1">
    <w:name w:val="heading 1"/>
    <w:aliases w:val="L1,Outline1,New Section,Section,Chapter Hdg,Oscar Faber 1,Section Heading,Char15"/>
    <w:basedOn w:val="Normal"/>
    <w:next w:val="Normal"/>
    <w:link w:val="Heading1Char"/>
    <w:qFormat/>
    <w:rsid w:val="00971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71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Outline1 Char,New Section Char,Section Char,Chapter Hdg Char,Oscar Faber 1 Char,Section Heading Char,Char15 Char"/>
    <w:basedOn w:val="DefaultParagraphFont"/>
    <w:link w:val="Heading1"/>
    <w:rsid w:val="0097192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971925"/>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71925"/>
    <w:pPr>
      <w:ind w:left="720"/>
      <w:contextualSpacing/>
    </w:pPr>
  </w:style>
  <w:style w:type="paragraph" w:styleId="TOCHeading">
    <w:name w:val="TOC Heading"/>
    <w:basedOn w:val="Heading1"/>
    <w:next w:val="Normal"/>
    <w:uiPriority w:val="39"/>
    <w:unhideWhenUsed/>
    <w:qFormat/>
    <w:rsid w:val="00971925"/>
    <w:pPr>
      <w:spacing w:line="276" w:lineRule="auto"/>
      <w:outlineLvl w:val="9"/>
    </w:pPr>
    <w:rPr>
      <w:lang w:val="en-US"/>
    </w:rPr>
  </w:style>
  <w:style w:type="paragraph" w:styleId="TOC1">
    <w:name w:val="toc 1"/>
    <w:basedOn w:val="Normal"/>
    <w:next w:val="Normal"/>
    <w:autoRedefine/>
    <w:uiPriority w:val="39"/>
    <w:qFormat/>
    <w:rsid w:val="00971925"/>
    <w:pPr>
      <w:tabs>
        <w:tab w:val="left" w:pos="440"/>
        <w:tab w:val="right" w:leader="dot" w:pos="8299"/>
      </w:tabs>
      <w:spacing w:after="100"/>
    </w:pPr>
  </w:style>
  <w:style w:type="character" w:styleId="Hyperlink">
    <w:name w:val="Hyperlink"/>
    <w:basedOn w:val="DefaultParagraphFont"/>
    <w:uiPriority w:val="99"/>
    <w:unhideWhenUsed/>
    <w:rsid w:val="00971925"/>
    <w:rPr>
      <w:color w:val="0000FF" w:themeColor="hyperlink"/>
      <w:u w:val="single"/>
    </w:rPr>
  </w:style>
  <w:style w:type="paragraph" w:styleId="BalloonText">
    <w:name w:val="Balloon Text"/>
    <w:basedOn w:val="Normal"/>
    <w:link w:val="BalloonTextChar"/>
    <w:rsid w:val="00971925"/>
    <w:rPr>
      <w:rFonts w:ascii="Tahoma" w:hAnsi="Tahoma" w:cs="Tahoma"/>
      <w:sz w:val="16"/>
      <w:szCs w:val="16"/>
    </w:rPr>
  </w:style>
  <w:style w:type="character" w:customStyle="1" w:styleId="BalloonTextChar">
    <w:name w:val="Balloon Text Char"/>
    <w:basedOn w:val="DefaultParagraphFont"/>
    <w:link w:val="BalloonText"/>
    <w:rsid w:val="00971925"/>
    <w:rPr>
      <w:rFonts w:ascii="Tahoma" w:hAnsi="Tahoma" w:cs="Tahoma"/>
      <w:sz w:val="16"/>
      <w:szCs w:val="16"/>
      <w:lang w:eastAsia="en-US"/>
    </w:rPr>
  </w:style>
  <w:style w:type="paragraph" w:customStyle="1" w:styleId="normalnumbered">
    <w:name w:val="normal numbered"/>
    <w:basedOn w:val="Normal"/>
    <w:link w:val="normalnumberedChar"/>
    <w:uiPriority w:val="99"/>
    <w:rsid w:val="00971925"/>
    <w:pPr>
      <w:tabs>
        <w:tab w:val="num" w:pos="2666"/>
      </w:tabs>
      <w:spacing w:before="120" w:after="240" w:line="360" w:lineRule="auto"/>
      <w:ind w:left="2666" w:hanging="680"/>
      <w:jc w:val="both"/>
    </w:pPr>
    <w:rPr>
      <w:rFonts w:ascii="Arial" w:hAnsi="Arial"/>
      <w:sz w:val="20"/>
      <w:lang w:eastAsia="en-GB"/>
    </w:rPr>
  </w:style>
  <w:style w:type="character" w:customStyle="1" w:styleId="normalnumberedChar">
    <w:name w:val="normal numbered Char"/>
    <w:basedOn w:val="DefaultParagraphFont"/>
    <w:link w:val="normalnumbered"/>
    <w:uiPriority w:val="99"/>
    <w:locked/>
    <w:rsid w:val="00971925"/>
    <w:rPr>
      <w:rFonts w:ascii="Arial" w:hAnsi="Arial"/>
      <w:szCs w:val="24"/>
    </w:rPr>
  </w:style>
  <w:style w:type="paragraph" w:styleId="DocumentMap">
    <w:name w:val="Document Map"/>
    <w:basedOn w:val="Normal"/>
    <w:link w:val="DocumentMapChar"/>
    <w:rsid w:val="00971925"/>
    <w:rPr>
      <w:rFonts w:ascii="Tahoma" w:hAnsi="Tahoma" w:cs="Tahoma"/>
      <w:sz w:val="16"/>
      <w:szCs w:val="16"/>
    </w:rPr>
  </w:style>
  <w:style w:type="character" w:customStyle="1" w:styleId="DocumentMapChar">
    <w:name w:val="Document Map Char"/>
    <w:basedOn w:val="DefaultParagraphFont"/>
    <w:link w:val="DocumentMap"/>
    <w:rsid w:val="00971925"/>
    <w:rPr>
      <w:rFonts w:ascii="Tahoma" w:hAnsi="Tahoma" w:cs="Tahoma"/>
      <w:sz w:val="16"/>
      <w:szCs w:val="16"/>
      <w:lang w:eastAsia="en-US"/>
    </w:rPr>
  </w:style>
  <w:style w:type="table" w:styleId="TableGrid">
    <w:name w:val="Table Grid"/>
    <w:basedOn w:val="TableNormal"/>
    <w:uiPriority w:val="59"/>
    <w:rsid w:val="00971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rsid w:val="00971925"/>
    <w:rPr>
      <w:sz w:val="20"/>
      <w:szCs w:val="20"/>
      <w:lang w:eastAsia="en-GB"/>
    </w:rPr>
  </w:style>
  <w:style w:type="character" w:customStyle="1" w:styleId="FootnoteTextChar">
    <w:name w:val="Footnote Text Char"/>
    <w:basedOn w:val="DefaultParagraphFont"/>
    <w:link w:val="FootnoteText"/>
    <w:uiPriority w:val="99"/>
    <w:rsid w:val="00971925"/>
  </w:style>
  <w:style w:type="character" w:styleId="FootnoteReference">
    <w:name w:val="footnote reference"/>
    <w:aliases w:val="Appel note de bas de p"/>
    <w:basedOn w:val="DefaultParagraphFont"/>
    <w:uiPriority w:val="99"/>
    <w:rsid w:val="00971925"/>
    <w:rPr>
      <w:vertAlign w:val="superscript"/>
    </w:rPr>
  </w:style>
  <w:style w:type="paragraph" w:customStyle="1" w:styleId="last-child">
    <w:name w:val="last-child"/>
    <w:basedOn w:val="Normal"/>
    <w:rsid w:val="00971925"/>
    <w:pPr>
      <w:spacing w:before="100" w:beforeAutospacing="1" w:after="100" w:afterAutospacing="1"/>
    </w:pPr>
    <w:rPr>
      <w:lang w:eastAsia="en-GB"/>
    </w:rPr>
  </w:style>
  <w:style w:type="paragraph" w:styleId="Header">
    <w:name w:val="header"/>
    <w:basedOn w:val="Normal"/>
    <w:link w:val="HeaderChar"/>
    <w:rsid w:val="00971925"/>
    <w:pPr>
      <w:tabs>
        <w:tab w:val="center" w:pos="4513"/>
        <w:tab w:val="right" w:pos="9026"/>
      </w:tabs>
    </w:pPr>
  </w:style>
  <w:style w:type="character" w:customStyle="1" w:styleId="HeaderChar">
    <w:name w:val="Header Char"/>
    <w:basedOn w:val="DefaultParagraphFont"/>
    <w:link w:val="Header"/>
    <w:rsid w:val="00971925"/>
    <w:rPr>
      <w:sz w:val="24"/>
      <w:szCs w:val="24"/>
      <w:lang w:eastAsia="en-US"/>
    </w:rPr>
  </w:style>
  <w:style w:type="paragraph" w:styleId="Footer">
    <w:name w:val="footer"/>
    <w:basedOn w:val="Normal"/>
    <w:link w:val="FooterChar"/>
    <w:uiPriority w:val="99"/>
    <w:rsid w:val="00971925"/>
    <w:pPr>
      <w:tabs>
        <w:tab w:val="center" w:pos="4513"/>
        <w:tab w:val="right" w:pos="9026"/>
      </w:tabs>
    </w:pPr>
  </w:style>
  <w:style w:type="character" w:customStyle="1" w:styleId="FooterChar">
    <w:name w:val="Footer Char"/>
    <w:basedOn w:val="DefaultParagraphFont"/>
    <w:link w:val="Footer"/>
    <w:uiPriority w:val="99"/>
    <w:rsid w:val="00971925"/>
    <w:rPr>
      <w:sz w:val="24"/>
      <w:szCs w:val="24"/>
      <w:lang w:eastAsia="en-US"/>
    </w:rPr>
  </w:style>
  <w:style w:type="paragraph" w:styleId="TOC2">
    <w:name w:val="toc 2"/>
    <w:basedOn w:val="Normal"/>
    <w:next w:val="Normal"/>
    <w:autoRedefine/>
    <w:uiPriority w:val="39"/>
    <w:unhideWhenUsed/>
    <w:qFormat/>
    <w:rsid w:val="00971925"/>
    <w:pPr>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qFormat/>
    <w:rsid w:val="00971925"/>
    <w:pPr>
      <w:spacing w:after="100" w:line="276" w:lineRule="auto"/>
      <w:ind w:left="440"/>
    </w:pPr>
    <w:rPr>
      <w:rFonts w:asciiTheme="minorHAnsi" w:eastAsiaTheme="minorEastAsia" w:hAnsiTheme="minorHAnsi" w:cstheme="minorBidi"/>
      <w:sz w:val="22"/>
      <w:szCs w:val="22"/>
      <w:lang w:val="en-US"/>
    </w:rPr>
  </w:style>
  <w:style w:type="character" w:styleId="CommentReference">
    <w:name w:val="annotation reference"/>
    <w:basedOn w:val="DefaultParagraphFont"/>
    <w:rsid w:val="008F3BB6"/>
    <w:rPr>
      <w:sz w:val="16"/>
      <w:szCs w:val="16"/>
    </w:rPr>
  </w:style>
  <w:style w:type="paragraph" w:styleId="CommentText">
    <w:name w:val="annotation text"/>
    <w:basedOn w:val="Normal"/>
    <w:link w:val="CommentTextChar"/>
    <w:rsid w:val="008F3BB6"/>
    <w:rPr>
      <w:sz w:val="20"/>
      <w:szCs w:val="20"/>
    </w:rPr>
  </w:style>
  <w:style w:type="character" w:customStyle="1" w:styleId="CommentTextChar">
    <w:name w:val="Comment Text Char"/>
    <w:basedOn w:val="DefaultParagraphFont"/>
    <w:link w:val="CommentText"/>
    <w:rsid w:val="008F3BB6"/>
    <w:rPr>
      <w:lang w:eastAsia="en-US"/>
    </w:rPr>
  </w:style>
  <w:style w:type="paragraph" w:styleId="CommentSubject">
    <w:name w:val="annotation subject"/>
    <w:basedOn w:val="CommentText"/>
    <w:next w:val="CommentText"/>
    <w:link w:val="CommentSubjectChar"/>
    <w:rsid w:val="008F3BB6"/>
    <w:rPr>
      <w:b/>
      <w:bCs/>
    </w:rPr>
  </w:style>
  <w:style w:type="character" w:customStyle="1" w:styleId="CommentSubjectChar">
    <w:name w:val="Comment Subject Char"/>
    <w:basedOn w:val="CommentTextChar"/>
    <w:link w:val="CommentSubject"/>
    <w:rsid w:val="008F3BB6"/>
    <w:rPr>
      <w:b/>
      <w:bCs/>
      <w:lang w:eastAsia="en-US"/>
    </w:rPr>
  </w:style>
  <w:style w:type="paragraph" w:styleId="z-BottomofForm">
    <w:name w:val="HTML Bottom of Form"/>
    <w:basedOn w:val="Normal"/>
    <w:next w:val="Normal"/>
    <w:link w:val="z-BottomofFormChar"/>
    <w:hidden/>
    <w:uiPriority w:val="99"/>
    <w:unhideWhenUsed/>
    <w:rsid w:val="000F6E2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0F6E29"/>
    <w:rPr>
      <w:rFonts w:ascii="Arial" w:hAnsi="Arial" w:cs="Arial"/>
      <w:vanish/>
      <w:sz w:val="16"/>
      <w:szCs w:val="16"/>
    </w:rPr>
  </w:style>
  <w:style w:type="table" w:customStyle="1" w:styleId="TableGrid1">
    <w:name w:val="Table Grid1"/>
    <w:basedOn w:val="TableNormal"/>
    <w:next w:val="TableGrid"/>
    <w:uiPriority w:val="59"/>
    <w:rsid w:val="004F4587"/>
    <w:pPr>
      <w:spacing w:before="60"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cs="Times New Roman"/>
        <w:b/>
        <w:sz w:val="20"/>
      </w:rPr>
      <w:tblPr/>
      <w:trPr>
        <w:cantSplit/>
        <w:tblHeader/>
      </w:trPr>
    </w:tblStylePr>
  </w:style>
  <w:style w:type="character" w:styleId="FollowedHyperlink">
    <w:name w:val="FollowedHyperlink"/>
    <w:basedOn w:val="DefaultParagraphFont"/>
    <w:rsid w:val="009C7062"/>
    <w:rPr>
      <w:color w:val="800080" w:themeColor="followedHyperlink"/>
      <w:u w:val="single"/>
    </w:rPr>
  </w:style>
  <w:style w:type="paragraph" w:customStyle="1" w:styleId="ta-response-item-content">
    <w:name w:val="ta-response-item-content"/>
    <w:basedOn w:val="Normal"/>
    <w:rsid w:val="009964DD"/>
    <w:rPr>
      <w:lang w:eastAsia="en-GB"/>
    </w:rPr>
  </w:style>
  <w:style w:type="paragraph" w:customStyle="1" w:styleId="Default">
    <w:name w:val="Default"/>
    <w:rsid w:val="00C42C8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C53C0"/>
    <w:pPr>
      <w:spacing w:after="230" w:line="288" w:lineRule="auto"/>
    </w:pPr>
    <w:rPr>
      <w:rFonts w:ascii="inherit" w:hAnsi="inherit"/>
      <w:sz w:val="20"/>
      <w:szCs w:val="20"/>
      <w:lang w:eastAsia="en-GB"/>
    </w:rPr>
  </w:style>
  <w:style w:type="character" w:styleId="Emphasis">
    <w:name w:val="Emphasis"/>
    <w:basedOn w:val="DefaultParagraphFont"/>
    <w:uiPriority w:val="20"/>
    <w:qFormat/>
    <w:rsid w:val="00787387"/>
    <w:rPr>
      <w:i/>
      <w:iCs/>
    </w:rPr>
  </w:style>
  <w:style w:type="paragraph" w:styleId="PlainText">
    <w:name w:val="Plain Text"/>
    <w:basedOn w:val="Normal"/>
    <w:link w:val="PlainTextChar"/>
    <w:uiPriority w:val="99"/>
    <w:semiHidden/>
    <w:unhideWhenUsed/>
    <w:rsid w:val="000B3F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B3FEC"/>
    <w:rPr>
      <w:rFonts w:ascii="Consolas" w:eastAsiaTheme="minorHAnsi" w:hAnsi="Consolas" w:cstheme="minorBidi"/>
      <w:sz w:val="21"/>
      <w:szCs w:val="21"/>
      <w:lang w:eastAsia="en-US"/>
    </w:rPr>
  </w:style>
  <w:style w:type="paragraph" w:styleId="NoSpacing">
    <w:name w:val="No Spacing"/>
    <w:uiPriority w:val="1"/>
    <w:qFormat/>
    <w:rsid w:val="00502860"/>
    <w:rPr>
      <w:sz w:val="24"/>
      <w:szCs w:val="24"/>
      <w:lang w:eastAsia="en-US"/>
    </w:rPr>
  </w:style>
  <w:style w:type="table" w:styleId="MediumGrid3-Accent1">
    <w:name w:val="Medium Grid 3 Accent 1"/>
    <w:basedOn w:val="TableNormal"/>
    <w:uiPriority w:val="69"/>
    <w:rsid w:val="007C27B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6593">
      <w:bodyDiv w:val="1"/>
      <w:marLeft w:val="0"/>
      <w:marRight w:val="0"/>
      <w:marTop w:val="0"/>
      <w:marBottom w:val="0"/>
      <w:divBdr>
        <w:top w:val="none" w:sz="0" w:space="0" w:color="auto"/>
        <w:left w:val="none" w:sz="0" w:space="0" w:color="auto"/>
        <w:bottom w:val="none" w:sz="0" w:space="0" w:color="auto"/>
        <w:right w:val="none" w:sz="0" w:space="0" w:color="auto"/>
      </w:divBdr>
      <w:divsChild>
        <w:div w:id="1570074332">
          <w:marLeft w:val="0"/>
          <w:marRight w:val="0"/>
          <w:marTop w:val="0"/>
          <w:marBottom w:val="0"/>
          <w:divBdr>
            <w:top w:val="none" w:sz="0" w:space="0" w:color="auto"/>
            <w:left w:val="none" w:sz="0" w:space="0" w:color="auto"/>
            <w:bottom w:val="none" w:sz="0" w:space="0" w:color="auto"/>
            <w:right w:val="none" w:sz="0" w:space="0" w:color="auto"/>
          </w:divBdr>
          <w:divsChild>
            <w:div w:id="293753153">
              <w:marLeft w:val="0"/>
              <w:marRight w:val="0"/>
              <w:marTop w:val="0"/>
              <w:marBottom w:val="0"/>
              <w:divBdr>
                <w:top w:val="none" w:sz="0" w:space="0" w:color="auto"/>
                <w:left w:val="none" w:sz="0" w:space="0" w:color="auto"/>
                <w:bottom w:val="none" w:sz="0" w:space="0" w:color="auto"/>
                <w:right w:val="none" w:sz="0" w:space="0" w:color="auto"/>
              </w:divBdr>
              <w:divsChild>
                <w:div w:id="520048092">
                  <w:marLeft w:val="0"/>
                  <w:marRight w:val="0"/>
                  <w:marTop w:val="0"/>
                  <w:marBottom w:val="0"/>
                  <w:divBdr>
                    <w:top w:val="none" w:sz="0" w:space="0" w:color="auto"/>
                    <w:left w:val="none" w:sz="0" w:space="0" w:color="auto"/>
                    <w:bottom w:val="none" w:sz="0" w:space="0" w:color="auto"/>
                    <w:right w:val="none" w:sz="0" w:space="0" w:color="auto"/>
                  </w:divBdr>
                  <w:divsChild>
                    <w:div w:id="1767918034">
                      <w:marLeft w:val="0"/>
                      <w:marRight w:val="0"/>
                      <w:marTop w:val="0"/>
                      <w:marBottom w:val="0"/>
                      <w:divBdr>
                        <w:top w:val="none" w:sz="0" w:space="0" w:color="auto"/>
                        <w:left w:val="none" w:sz="0" w:space="0" w:color="auto"/>
                        <w:bottom w:val="none" w:sz="0" w:space="0" w:color="auto"/>
                        <w:right w:val="none" w:sz="0" w:space="0" w:color="auto"/>
                      </w:divBdr>
                      <w:divsChild>
                        <w:div w:id="277224459">
                          <w:marLeft w:val="0"/>
                          <w:marRight w:val="0"/>
                          <w:marTop w:val="0"/>
                          <w:marBottom w:val="0"/>
                          <w:divBdr>
                            <w:top w:val="none" w:sz="0" w:space="0" w:color="auto"/>
                            <w:left w:val="none" w:sz="0" w:space="0" w:color="auto"/>
                            <w:bottom w:val="none" w:sz="0" w:space="0" w:color="auto"/>
                            <w:right w:val="none" w:sz="0" w:space="0" w:color="auto"/>
                          </w:divBdr>
                          <w:divsChild>
                            <w:div w:id="314917006">
                              <w:marLeft w:val="0"/>
                              <w:marRight w:val="0"/>
                              <w:marTop w:val="0"/>
                              <w:marBottom w:val="0"/>
                              <w:divBdr>
                                <w:top w:val="none" w:sz="0" w:space="0" w:color="auto"/>
                                <w:left w:val="none" w:sz="0" w:space="0" w:color="auto"/>
                                <w:bottom w:val="none" w:sz="0" w:space="0" w:color="auto"/>
                                <w:right w:val="none" w:sz="0" w:space="0" w:color="auto"/>
                              </w:divBdr>
                              <w:divsChild>
                                <w:div w:id="1085423681">
                                  <w:marLeft w:val="0"/>
                                  <w:marRight w:val="0"/>
                                  <w:marTop w:val="419"/>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7616">
      <w:bodyDiv w:val="1"/>
      <w:marLeft w:val="0"/>
      <w:marRight w:val="0"/>
      <w:marTop w:val="0"/>
      <w:marBottom w:val="0"/>
      <w:divBdr>
        <w:top w:val="none" w:sz="0" w:space="0" w:color="auto"/>
        <w:left w:val="none" w:sz="0" w:space="0" w:color="auto"/>
        <w:bottom w:val="none" w:sz="0" w:space="0" w:color="auto"/>
        <w:right w:val="none" w:sz="0" w:space="0" w:color="auto"/>
      </w:divBdr>
    </w:div>
    <w:div w:id="509879887">
      <w:bodyDiv w:val="1"/>
      <w:marLeft w:val="0"/>
      <w:marRight w:val="0"/>
      <w:marTop w:val="0"/>
      <w:marBottom w:val="0"/>
      <w:divBdr>
        <w:top w:val="none" w:sz="0" w:space="0" w:color="auto"/>
        <w:left w:val="none" w:sz="0" w:space="0" w:color="auto"/>
        <w:bottom w:val="none" w:sz="0" w:space="0" w:color="auto"/>
        <w:right w:val="none" w:sz="0" w:space="0" w:color="auto"/>
      </w:divBdr>
      <w:divsChild>
        <w:div w:id="1816872031">
          <w:marLeft w:val="0"/>
          <w:marRight w:val="0"/>
          <w:marTop w:val="0"/>
          <w:marBottom w:val="0"/>
          <w:divBdr>
            <w:top w:val="none" w:sz="0" w:space="0" w:color="auto"/>
            <w:left w:val="none" w:sz="0" w:space="0" w:color="auto"/>
            <w:bottom w:val="none" w:sz="0" w:space="0" w:color="auto"/>
            <w:right w:val="none" w:sz="0" w:space="0" w:color="auto"/>
          </w:divBdr>
          <w:divsChild>
            <w:div w:id="522672721">
              <w:marLeft w:val="0"/>
              <w:marRight w:val="0"/>
              <w:marTop w:val="0"/>
              <w:marBottom w:val="0"/>
              <w:divBdr>
                <w:top w:val="none" w:sz="0" w:space="0" w:color="auto"/>
                <w:left w:val="none" w:sz="0" w:space="0" w:color="auto"/>
                <w:bottom w:val="none" w:sz="0" w:space="0" w:color="auto"/>
                <w:right w:val="none" w:sz="0" w:space="0" w:color="auto"/>
              </w:divBdr>
              <w:divsChild>
                <w:div w:id="658577917">
                  <w:marLeft w:val="0"/>
                  <w:marRight w:val="0"/>
                  <w:marTop w:val="0"/>
                  <w:marBottom w:val="0"/>
                  <w:divBdr>
                    <w:top w:val="none" w:sz="0" w:space="0" w:color="auto"/>
                    <w:left w:val="none" w:sz="0" w:space="0" w:color="auto"/>
                    <w:bottom w:val="none" w:sz="0" w:space="0" w:color="auto"/>
                    <w:right w:val="none" w:sz="0" w:space="0" w:color="auto"/>
                  </w:divBdr>
                  <w:divsChild>
                    <w:div w:id="2054696774">
                      <w:marLeft w:val="0"/>
                      <w:marRight w:val="0"/>
                      <w:marTop w:val="0"/>
                      <w:marBottom w:val="0"/>
                      <w:divBdr>
                        <w:top w:val="none" w:sz="0" w:space="0" w:color="auto"/>
                        <w:left w:val="none" w:sz="0" w:space="0" w:color="auto"/>
                        <w:bottom w:val="none" w:sz="0" w:space="0" w:color="auto"/>
                        <w:right w:val="none" w:sz="0" w:space="0" w:color="auto"/>
                      </w:divBdr>
                      <w:divsChild>
                        <w:div w:id="1908109149">
                          <w:marLeft w:val="0"/>
                          <w:marRight w:val="0"/>
                          <w:marTop w:val="250"/>
                          <w:marBottom w:val="0"/>
                          <w:divBdr>
                            <w:top w:val="none" w:sz="0" w:space="0" w:color="auto"/>
                            <w:left w:val="none" w:sz="0" w:space="0" w:color="auto"/>
                            <w:bottom w:val="none" w:sz="0" w:space="0" w:color="auto"/>
                            <w:right w:val="none" w:sz="0" w:space="0" w:color="auto"/>
                          </w:divBdr>
                          <w:divsChild>
                            <w:div w:id="1824616522">
                              <w:marLeft w:val="0"/>
                              <w:marRight w:val="0"/>
                              <w:marTop w:val="0"/>
                              <w:marBottom w:val="0"/>
                              <w:divBdr>
                                <w:top w:val="none" w:sz="0" w:space="0" w:color="auto"/>
                                <w:left w:val="none" w:sz="0" w:space="0" w:color="auto"/>
                                <w:bottom w:val="none" w:sz="0" w:space="0" w:color="auto"/>
                                <w:right w:val="none" w:sz="0" w:space="0" w:color="auto"/>
                              </w:divBdr>
                              <w:divsChild>
                                <w:div w:id="190607891">
                                  <w:marLeft w:val="0"/>
                                  <w:marRight w:val="0"/>
                                  <w:marTop w:val="0"/>
                                  <w:marBottom w:val="0"/>
                                  <w:divBdr>
                                    <w:top w:val="none" w:sz="0" w:space="0" w:color="auto"/>
                                    <w:left w:val="none" w:sz="0" w:space="0" w:color="auto"/>
                                    <w:bottom w:val="none" w:sz="0" w:space="0" w:color="auto"/>
                                    <w:right w:val="none" w:sz="0" w:space="0" w:color="auto"/>
                                  </w:divBdr>
                                  <w:divsChild>
                                    <w:div w:id="962464906">
                                      <w:marLeft w:val="0"/>
                                      <w:marRight w:val="0"/>
                                      <w:marTop w:val="0"/>
                                      <w:marBottom w:val="0"/>
                                      <w:divBdr>
                                        <w:top w:val="none" w:sz="0" w:space="0" w:color="auto"/>
                                        <w:left w:val="none" w:sz="0" w:space="0" w:color="auto"/>
                                        <w:bottom w:val="none" w:sz="0" w:space="0" w:color="auto"/>
                                        <w:right w:val="none" w:sz="0" w:space="0" w:color="auto"/>
                                      </w:divBdr>
                                      <w:divsChild>
                                        <w:div w:id="1287127969">
                                          <w:marLeft w:val="0"/>
                                          <w:marRight w:val="0"/>
                                          <w:marTop w:val="0"/>
                                          <w:marBottom w:val="0"/>
                                          <w:divBdr>
                                            <w:top w:val="none" w:sz="0" w:space="0" w:color="auto"/>
                                            <w:left w:val="none" w:sz="0" w:space="0" w:color="auto"/>
                                            <w:bottom w:val="none" w:sz="0" w:space="0" w:color="auto"/>
                                            <w:right w:val="none" w:sz="0" w:space="0" w:color="auto"/>
                                          </w:divBdr>
                                          <w:divsChild>
                                            <w:div w:id="624820913">
                                              <w:marLeft w:val="0"/>
                                              <w:marRight w:val="0"/>
                                              <w:marTop w:val="0"/>
                                              <w:marBottom w:val="250"/>
                                              <w:divBdr>
                                                <w:top w:val="none" w:sz="0" w:space="0" w:color="auto"/>
                                                <w:left w:val="none" w:sz="0" w:space="0" w:color="auto"/>
                                                <w:bottom w:val="none" w:sz="0" w:space="0" w:color="auto"/>
                                                <w:right w:val="none" w:sz="0" w:space="0" w:color="auto"/>
                                              </w:divBdr>
                                              <w:divsChild>
                                                <w:div w:id="1889800804">
                                                  <w:marLeft w:val="0"/>
                                                  <w:marRight w:val="0"/>
                                                  <w:marTop w:val="0"/>
                                                  <w:marBottom w:val="0"/>
                                                  <w:divBdr>
                                                    <w:top w:val="none" w:sz="0" w:space="0" w:color="auto"/>
                                                    <w:left w:val="none" w:sz="0" w:space="0" w:color="auto"/>
                                                    <w:bottom w:val="none" w:sz="0" w:space="0" w:color="auto"/>
                                                    <w:right w:val="none" w:sz="0" w:space="0" w:color="auto"/>
                                                  </w:divBdr>
                                                  <w:divsChild>
                                                    <w:div w:id="1031493798">
                                                      <w:marLeft w:val="0"/>
                                                      <w:marRight w:val="0"/>
                                                      <w:marTop w:val="0"/>
                                                      <w:marBottom w:val="250"/>
                                                      <w:divBdr>
                                                        <w:top w:val="single" w:sz="4" w:space="0" w:color="DDDDDD"/>
                                                        <w:left w:val="single" w:sz="4" w:space="0" w:color="DDDDDD"/>
                                                        <w:bottom w:val="single" w:sz="4" w:space="0" w:color="DDDDDD"/>
                                                        <w:right w:val="single" w:sz="4" w:space="0" w:color="DDDDDD"/>
                                                      </w:divBdr>
                                                      <w:divsChild>
                                                        <w:div w:id="681708496">
                                                          <w:marLeft w:val="0"/>
                                                          <w:marRight w:val="0"/>
                                                          <w:marTop w:val="0"/>
                                                          <w:marBottom w:val="0"/>
                                                          <w:divBdr>
                                                            <w:top w:val="none" w:sz="0" w:space="0" w:color="auto"/>
                                                            <w:left w:val="none" w:sz="0" w:space="0" w:color="auto"/>
                                                            <w:bottom w:val="none" w:sz="0" w:space="0" w:color="auto"/>
                                                            <w:right w:val="none" w:sz="0" w:space="0" w:color="auto"/>
                                                          </w:divBdr>
                                                          <w:divsChild>
                                                            <w:div w:id="1962614213">
                                                              <w:marLeft w:val="0"/>
                                                              <w:marRight w:val="0"/>
                                                              <w:marTop w:val="0"/>
                                                              <w:marBottom w:val="0"/>
                                                              <w:divBdr>
                                                                <w:top w:val="none" w:sz="0" w:space="0" w:color="auto"/>
                                                                <w:left w:val="none" w:sz="0" w:space="0" w:color="auto"/>
                                                                <w:bottom w:val="none" w:sz="0" w:space="0" w:color="auto"/>
                                                                <w:right w:val="none" w:sz="0" w:space="0" w:color="auto"/>
                                                              </w:divBdr>
                                                              <w:divsChild>
                                                                <w:div w:id="550924382">
                                                                  <w:marLeft w:val="0"/>
                                                                  <w:marRight w:val="0"/>
                                                                  <w:marTop w:val="0"/>
                                                                  <w:marBottom w:val="0"/>
                                                                  <w:divBdr>
                                                                    <w:top w:val="none" w:sz="0" w:space="0" w:color="auto"/>
                                                                    <w:left w:val="none" w:sz="0" w:space="0" w:color="auto"/>
                                                                    <w:bottom w:val="none" w:sz="0" w:space="0" w:color="auto"/>
                                                                    <w:right w:val="none" w:sz="0" w:space="0" w:color="auto"/>
                                                                  </w:divBdr>
                                                                  <w:divsChild>
                                                                    <w:div w:id="2085636759">
                                                                      <w:marLeft w:val="0"/>
                                                                      <w:marRight w:val="0"/>
                                                                      <w:marTop w:val="0"/>
                                                                      <w:marBottom w:val="250"/>
                                                                      <w:divBdr>
                                                                        <w:top w:val="none" w:sz="0" w:space="0" w:color="auto"/>
                                                                        <w:left w:val="none" w:sz="0" w:space="0" w:color="auto"/>
                                                                        <w:bottom w:val="none" w:sz="0" w:space="0" w:color="auto"/>
                                                                        <w:right w:val="none" w:sz="0" w:space="0" w:color="auto"/>
                                                                      </w:divBdr>
                                                                      <w:divsChild>
                                                                        <w:div w:id="1574927805">
                                                                          <w:marLeft w:val="0"/>
                                                                          <w:marRight w:val="0"/>
                                                                          <w:marTop w:val="0"/>
                                                                          <w:marBottom w:val="0"/>
                                                                          <w:divBdr>
                                                                            <w:top w:val="none" w:sz="0" w:space="0" w:color="auto"/>
                                                                            <w:left w:val="none" w:sz="0" w:space="0" w:color="auto"/>
                                                                            <w:bottom w:val="single" w:sz="4" w:space="0" w:color="999999"/>
                                                                            <w:right w:val="none" w:sz="0" w:space="0" w:color="auto"/>
                                                                          </w:divBdr>
                                                                          <w:divsChild>
                                                                            <w:div w:id="2098166788">
                                                                              <w:marLeft w:val="0"/>
                                                                              <w:marRight w:val="0"/>
                                                                              <w:marTop w:val="0"/>
                                                                              <w:marBottom w:val="0"/>
                                                                              <w:divBdr>
                                                                                <w:top w:val="none" w:sz="0" w:space="0" w:color="auto"/>
                                                                                <w:left w:val="none" w:sz="0" w:space="0" w:color="auto"/>
                                                                                <w:bottom w:val="none" w:sz="0" w:space="0" w:color="auto"/>
                                                                                <w:right w:val="none" w:sz="0" w:space="0" w:color="auto"/>
                                                                              </w:divBdr>
                                                                              <w:divsChild>
                                                                                <w:div w:id="2029257875">
                                                                                  <w:marLeft w:val="0"/>
                                                                                  <w:marRight w:val="0"/>
                                                                                  <w:marTop w:val="0"/>
                                                                                  <w:marBottom w:val="0"/>
                                                                                  <w:divBdr>
                                                                                    <w:top w:val="none" w:sz="0" w:space="0" w:color="auto"/>
                                                                                    <w:left w:val="none" w:sz="0" w:space="0" w:color="auto"/>
                                                                                    <w:bottom w:val="none" w:sz="0" w:space="0" w:color="auto"/>
                                                                                    <w:right w:val="none" w:sz="0" w:space="0" w:color="auto"/>
                                                                                  </w:divBdr>
                                                                                  <w:divsChild>
                                                                                    <w:div w:id="771894622">
                                                                                      <w:marLeft w:val="0"/>
                                                                                      <w:marRight w:val="0"/>
                                                                                      <w:marTop w:val="0"/>
                                                                                      <w:marBottom w:val="0"/>
                                                                                      <w:divBdr>
                                                                                        <w:top w:val="none" w:sz="0" w:space="0" w:color="auto"/>
                                                                                        <w:left w:val="none" w:sz="0" w:space="0" w:color="auto"/>
                                                                                        <w:bottom w:val="none" w:sz="0" w:space="0" w:color="auto"/>
                                                                                        <w:right w:val="none" w:sz="0" w:space="0" w:color="auto"/>
                                                                                      </w:divBdr>
                                                                                      <w:divsChild>
                                                                                        <w:div w:id="1300258490">
                                                                                          <w:marLeft w:val="0"/>
                                                                                          <w:marRight w:val="0"/>
                                                                                          <w:marTop w:val="0"/>
                                                                                          <w:marBottom w:val="0"/>
                                                                                          <w:divBdr>
                                                                                            <w:top w:val="none" w:sz="0" w:space="0" w:color="auto"/>
                                                                                            <w:left w:val="none" w:sz="0" w:space="0" w:color="auto"/>
                                                                                            <w:bottom w:val="single" w:sz="4" w:space="4" w:color="CCCCCC"/>
                                                                                            <w:right w:val="none" w:sz="0" w:space="0" w:color="auto"/>
                                                                                          </w:divBdr>
                                                                                          <w:divsChild>
                                                                                            <w:div w:id="894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809856">
      <w:bodyDiv w:val="1"/>
      <w:marLeft w:val="0"/>
      <w:marRight w:val="0"/>
      <w:marTop w:val="0"/>
      <w:marBottom w:val="0"/>
      <w:divBdr>
        <w:top w:val="none" w:sz="0" w:space="0" w:color="auto"/>
        <w:left w:val="none" w:sz="0" w:space="0" w:color="auto"/>
        <w:bottom w:val="none" w:sz="0" w:space="0" w:color="auto"/>
        <w:right w:val="none" w:sz="0" w:space="0" w:color="auto"/>
      </w:divBdr>
      <w:divsChild>
        <w:div w:id="358239776">
          <w:marLeft w:val="0"/>
          <w:marRight w:val="0"/>
          <w:marTop w:val="0"/>
          <w:marBottom w:val="0"/>
          <w:divBdr>
            <w:top w:val="none" w:sz="0" w:space="0" w:color="auto"/>
            <w:left w:val="none" w:sz="0" w:space="0" w:color="auto"/>
            <w:bottom w:val="none" w:sz="0" w:space="0" w:color="auto"/>
            <w:right w:val="none" w:sz="0" w:space="0" w:color="auto"/>
          </w:divBdr>
          <w:divsChild>
            <w:div w:id="722287681">
              <w:marLeft w:val="0"/>
              <w:marRight w:val="0"/>
              <w:marTop w:val="0"/>
              <w:marBottom w:val="0"/>
              <w:divBdr>
                <w:top w:val="none" w:sz="0" w:space="0" w:color="auto"/>
                <w:left w:val="none" w:sz="0" w:space="0" w:color="auto"/>
                <w:bottom w:val="none" w:sz="0" w:space="0" w:color="auto"/>
                <w:right w:val="none" w:sz="0" w:space="0" w:color="auto"/>
              </w:divBdr>
              <w:divsChild>
                <w:div w:id="77872483">
                  <w:marLeft w:val="0"/>
                  <w:marRight w:val="0"/>
                  <w:marTop w:val="0"/>
                  <w:marBottom w:val="0"/>
                  <w:divBdr>
                    <w:top w:val="none" w:sz="0" w:space="0" w:color="auto"/>
                    <w:left w:val="none" w:sz="0" w:space="0" w:color="auto"/>
                    <w:bottom w:val="none" w:sz="0" w:space="0" w:color="auto"/>
                    <w:right w:val="none" w:sz="0" w:space="0" w:color="auto"/>
                  </w:divBdr>
                  <w:divsChild>
                    <w:div w:id="1140537254">
                      <w:marLeft w:val="0"/>
                      <w:marRight w:val="0"/>
                      <w:marTop w:val="0"/>
                      <w:marBottom w:val="0"/>
                      <w:divBdr>
                        <w:top w:val="none" w:sz="0" w:space="0" w:color="auto"/>
                        <w:left w:val="none" w:sz="0" w:space="0" w:color="auto"/>
                        <w:bottom w:val="none" w:sz="0" w:space="0" w:color="auto"/>
                        <w:right w:val="none" w:sz="0" w:space="0" w:color="auto"/>
                      </w:divBdr>
                      <w:divsChild>
                        <w:div w:id="273488553">
                          <w:marLeft w:val="0"/>
                          <w:marRight w:val="0"/>
                          <w:marTop w:val="0"/>
                          <w:marBottom w:val="0"/>
                          <w:divBdr>
                            <w:top w:val="none" w:sz="0" w:space="0" w:color="auto"/>
                            <w:left w:val="none" w:sz="0" w:space="0" w:color="auto"/>
                            <w:bottom w:val="none" w:sz="0" w:space="0" w:color="auto"/>
                            <w:right w:val="none" w:sz="0" w:space="0" w:color="auto"/>
                          </w:divBdr>
                          <w:divsChild>
                            <w:div w:id="750471877">
                              <w:marLeft w:val="0"/>
                              <w:marRight w:val="0"/>
                              <w:marTop w:val="0"/>
                              <w:marBottom w:val="0"/>
                              <w:divBdr>
                                <w:top w:val="none" w:sz="0" w:space="0" w:color="auto"/>
                                <w:left w:val="none" w:sz="0" w:space="0" w:color="auto"/>
                                <w:bottom w:val="none" w:sz="0" w:space="0" w:color="auto"/>
                                <w:right w:val="none" w:sz="0" w:space="0" w:color="auto"/>
                              </w:divBdr>
                              <w:divsChild>
                                <w:div w:id="815074976">
                                  <w:marLeft w:val="0"/>
                                  <w:marRight w:val="0"/>
                                  <w:marTop w:val="419"/>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647705">
      <w:bodyDiv w:val="1"/>
      <w:marLeft w:val="0"/>
      <w:marRight w:val="0"/>
      <w:marTop w:val="0"/>
      <w:marBottom w:val="0"/>
      <w:divBdr>
        <w:top w:val="none" w:sz="0" w:space="0" w:color="auto"/>
        <w:left w:val="none" w:sz="0" w:space="0" w:color="auto"/>
        <w:bottom w:val="none" w:sz="0" w:space="0" w:color="auto"/>
        <w:right w:val="none" w:sz="0" w:space="0" w:color="auto"/>
      </w:divBdr>
      <w:divsChild>
        <w:div w:id="1310549392">
          <w:marLeft w:val="0"/>
          <w:marRight w:val="0"/>
          <w:marTop w:val="0"/>
          <w:marBottom w:val="0"/>
          <w:divBdr>
            <w:top w:val="none" w:sz="0" w:space="0" w:color="auto"/>
            <w:left w:val="none" w:sz="0" w:space="0" w:color="auto"/>
            <w:bottom w:val="none" w:sz="0" w:space="0" w:color="auto"/>
            <w:right w:val="none" w:sz="0" w:space="0" w:color="auto"/>
          </w:divBdr>
          <w:divsChild>
            <w:div w:id="237595247">
              <w:marLeft w:val="0"/>
              <w:marRight w:val="0"/>
              <w:marTop w:val="0"/>
              <w:marBottom w:val="0"/>
              <w:divBdr>
                <w:top w:val="none" w:sz="0" w:space="0" w:color="auto"/>
                <w:left w:val="none" w:sz="0" w:space="0" w:color="auto"/>
                <w:bottom w:val="none" w:sz="0" w:space="0" w:color="auto"/>
                <w:right w:val="none" w:sz="0" w:space="0" w:color="auto"/>
              </w:divBdr>
              <w:divsChild>
                <w:div w:id="1609190359">
                  <w:marLeft w:val="0"/>
                  <w:marRight w:val="0"/>
                  <w:marTop w:val="0"/>
                  <w:marBottom w:val="0"/>
                  <w:divBdr>
                    <w:top w:val="none" w:sz="0" w:space="0" w:color="auto"/>
                    <w:left w:val="none" w:sz="0" w:space="0" w:color="auto"/>
                    <w:bottom w:val="none" w:sz="0" w:space="0" w:color="auto"/>
                    <w:right w:val="none" w:sz="0" w:space="0" w:color="auto"/>
                  </w:divBdr>
                  <w:divsChild>
                    <w:div w:id="1728646544">
                      <w:marLeft w:val="0"/>
                      <w:marRight w:val="0"/>
                      <w:marTop w:val="0"/>
                      <w:marBottom w:val="0"/>
                      <w:divBdr>
                        <w:top w:val="none" w:sz="0" w:space="0" w:color="auto"/>
                        <w:left w:val="none" w:sz="0" w:space="0" w:color="auto"/>
                        <w:bottom w:val="none" w:sz="0" w:space="0" w:color="auto"/>
                        <w:right w:val="none" w:sz="0" w:space="0" w:color="auto"/>
                      </w:divBdr>
                      <w:divsChild>
                        <w:div w:id="383451682">
                          <w:marLeft w:val="0"/>
                          <w:marRight w:val="0"/>
                          <w:marTop w:val="250"/>
                          <w:marBottom w:val="0"/>
                          <w:divBdr>
                            <w:top w:val="none" w:sz="0" w:space="0" w:color="auto"/>
                            <w:left w:val="none" w:sz="0" w:space="0" w:color="auto"/>
                            <w:bottom w:val="none" w:sz="0" w:space="0" w:color="auto"/>
                            <w:right w:val="none" w:sz="0" w:space="0" w:color="auto"/>
                          </w:divBdr>
                          <w:divsChild>
                            <w:div w:id="146241605">
                              <w:marLeft w:val="0"/>
                              <w:marRight w:val="0"/>
                              <w:marTop w:val="0"/>
                              <w:marBottom w:val="0"/>
                              <w:divBdr>
                                <w:top w:val="none" w:sz="0" w:space="0" w:color="auto"/>
                                <w:left w:val="none" w:sz="0" w:space="0" w:color="auto"/>
                                <w:bottom w:val="none" w:sz="0" w:space="0" w:color="auto"/>
                                <w:right w:val="none" w:sz="0" w:space="0" w:color="auto"/>
                              </w:divBdr>
                              <w:divsChild>
                                <w:div w:id="1876114676">
                                  <w:marLeft w:val="0"/>
                                  <w:marRight w:val="0"/>
                                  <w:marTop w:val="0"/>
                                  <w:marBottom w:val="0"/>
                                  <w:divBdr>
                                    <w:top w:val="none" w:sz="0" w:space="0" w:color="auto"/>
                                    <w:left w:val="none" w:sz="0" w:space="0" w:color="auto"/>
                                    <w:bottom w:val="none" w:sz="0" w:space="0" w:color="auto"/>
                                    <w:right w:val="none" w:sz="0" w:space="0" w:color="auto"/>
                                  </w:divBdr>
                                  <w:divsChild>
                                    <w:div w:id="680199134">
                                      <w:marLeft w:val="0"/>
                                      <w:marRight w:val="0"/>
                                      <w:marTop w:val="0"/>
                                      <w:marBottom w:val="0"/>
                                      <w:divBdr>
                                        <w:top w:val="none" w:sz="0" w:space="0" w:color="auto"/>
                                        <w:left w:val="none" w:sz="0" w:space="0" w:color="auto"/>
                                        <w:bottom w:val="none" w:sz="0" w:space="0" w:color="auto"/>
                                        <w:right w:val="none" w:sz="0" w:space="0" w:color="auto"/>
                                      </w:divBdr>
                                      <w:divsChild>
                                        <w:div w:id="2046445554">
                                          <w:marLeft w:val="0"/>
                                          <w:marRight w:val="0"/>
                                          <w:marTop w:val="0"/>
                                          <w:marBottom w:val="0"/>
                                          <w:divBdr>
                                            <w:top w:val="none" w:sz="0" w:space="0" w:color="auto"/>
                                            <w:left w:val="none" w:sz="0" w:space="0" w:color="auto"/>
                                            <w:bottom w:val="none" w:sz="0" w:space="0" w:color="auto"/>
                                            <w:right w:val="none" w:sz="0" w:space="0" w:color="auto"/>
                                          </w:divBdr>
                                          <w:divsChild>
                                            <w:div w:id="778990917">
                                              <w:marLeft w:val="0"/>
                                              <w:marRight w:val="0"/>
                                              <w:marTop w:val="0"/>
                                              <w:marBottom w:val="250"/>
                                              <w:divBdr>
                                                <w:top w:val="none" w:sz="0" w:space="0" w:color="auto"/>
                                                <w:left w:val="none" w:sz="0" w:space="0" w:color="auto"/>
                                                <w:bottom w:val="none" w:sz="0" w:space="0" w:color="auto"/>
                                                <w:right w:val="none" w:sz="0" w:space="0" w:color="auto"/>
                                              </w:divBdr>
                                              <w:divsChild>
                                                <w:div w:id="303462503">
                                                  <w:marLeft w:val="0"/>
                                                  <w:marRight w:val="0"/>
                                                  <w:marTop w:val="0"/>
                                                  <w:marBottom w:val="0"/>
                                                  <w:divBdr>
                                                    <w:top w:val="none" w:sz="0" w:space="0" w:color="auto"/>
                                                    <w:left w:val="none" w:sz="0" w:space="0" w:color="auto"/>
                                                    <w:bottom w:val="none" w:sz="0" w:space="0" w:color="auto"/>
                                                    <w:right w:val="none" w:sz="0" w:space="0" w:color="auto"/>
                                                  </w:divBdr>
                                                  <w:divsChild>
                                                    <w:div w:id="764305822">
                                                      <w:marLeft w:val="0"/>
                                                      <w:marRight w:val="0"/>
                                                      <w:marTop w:val="0"/>
                                                      <w:marBottom w:val="250"/>
                                                      <w:divBdr>
                                                        <w:top w:val="single" w:sz="4" w:space="0" w:color="DDDDDD"/>
                                                        <w:left w:val="single" w:sz="4" w:space="0" w:color="DDDDDD"/>
                                                        <w:bottom w:val="single" w:sz="4" w:space="0" w:color="DDDDDD"/>
                                                        <w:right w:val="single" w:sz="4" w:space="0" w:color="DDDDDD"/>
                                                      </w:divBdr>
                                                      <w:divsChild>
                                                        <w:div w:id="1274678190">
                                                          <w:marLeft w:val="0"/>
                                                          <w:marRight w:val="0"/>
                                                          <w:marTop w:val="0"/>
                                                          <w:marBottom w:val="0"/>
                                                          <w:divBdr>
                                                            <w:top w:val="none" w:sz="0" w:space="0" w:color="auto"/>
                                                            <w:left w:val="none" w:sz="0" w:space="0" w:color="auto"/>
                                                            <w:bottom w:val="none" w:sz="0" w:space="0" w:color="auto"/>
                                                            <w:right w:val="none" w:sz="0" w:space="0" w:color="auto"/>
                                                          </w:divBdr>
                                                          <w:divsChild>
                                                            <w:div w:id="753287374">
                                                              <w:marLeft w:val="0"/>
                                                              <w:marRight w:val="0"/>
                                                              <w:marTop w:val="0"/>
                                                              <w:marBottom w:val="0"/>
                                                              <w:divBdr>
                                                                <w:top w:val="none" w:sz="0" w:space="0" w:color="auto"/>
                                                                <w:left w:val="none" w:sz="0" w:space="0" w:color="auto"/>
                                                                <w:bottom w:val="none" w:sz="0" w:space="0" w:color="auto"/>
                                                                <w:right w:val="none" w:sz="0" w:space="0" w:color="auto"/>
                                                              </w:divBdr>
                                                              <w:divsChild>
                                                                <w:div w:id="1176574515">
                                                                  <w:marLeft w:val="0"/>
                                                                  <w:marRight w:val="0"/>
                                                                  <w:marTop w:val="0"/>
                                                                  <w:marBottom w:val="0"/>
                                                                  <w:divBdr>
                                                                    <w:top w:val="none" w:sz="0" w:space="0" w:color="auto"/>
                                                                    <w:left w:val="none" w:sz="0" w:space="0" w:color="auto"/>
                                                                    <w:bottom w:val="none" w:sz="0" w:space="0" w:color="auto"/>
                                                                    <w:right w:val="none" w:sz="0" w:space="0" w:color="auto"/>
                                                                  </w:divBdr>
                                                                  <w:divsChild>
                                                                    <w:div w:id="1613440088">
                                                                      <w:marLeft w:val="0"/>
                                                                      <w:marRight w:val="0"/>
                                                                      <w:marTop w:val="0"/>
                                                                      <w:marBottom w:val="250"/>
                                                                      <w:divBdr>
                                                                        <w:top w:val="none" w:sz="0" w:space="0" w:color="auto"/>
                                                                        <w:left w:val="none" w:sz="0" w:space="0" w:color="auto"/>
                                                                        <w:bottom w:val="none" w:sz="0" w:space="0" w:color="auto"/>
                                                                        <w:right w:val="none" w:sz="0" w:space="0" w:color="auto"/>
                                                                      </w:divBdr>
                                                                      <w:divsChild>
                                                                        <w:div w:id="860750480">
                                                                          <w:marLeft w:val="0"/>
                                                                          <w:marRight w:val="0"/>
                                                                          <w:marTop w:val="0"/>
                                                                          <w:marBottom w:val="0"/>
                                                                          <w:divBdr>
                                                                            <w:top w:val="none" w:sz="0" w:space="0" w:color="auto"/>
                                                                            <w:left w:val="none" w:sz="0" w:space="0" w:color="auto"/>
                                                                            <w:bottom w:val="single" w:sz="4" w:space="0" w:color="999999"/>
                                                                            <w:right w:val="none" w:sz="0" w:space="0" w:color="auto"/>
                                                                          </w:divBdr>
                                                                          <w:divsChild>
                                                                            <w:div w:id="1988388822">
                                                                              <w:marLeft w:val="0"/>
                                                                              <w:marRight w:val="0"/>
                                                                              <w:marTop w:val="0"/>
                                                                              <w:marBottom w:val="0"/>
                                                                              <w:divBdr>
                                                                                <w:top w:val="none" w:sz="0" w:space="0" w:color="auto"/>
                                                                                <w:left w:val="none" w:sz="0" w:space="0" w:color="auto"/>
                                                                                <w:bottom w:val="none" w:sz="0" w:space="0" w:color="auto"/>
                                                                                <w:right w:val="none" w:sz="0" w:space="0" w:color="auto"/>
                                                                              </w:divBdr>
                                                                              <w:divsChild>
                                                                                <w:div w:id="1716616360">
                                                                                  <w:marLeft w:val="0"/>
                                                                                  <w:marRight w:val="0"/>
                                                                                  <w:marTop w:val="0"/>
                                                                                  <w:marBottom w:val="0"/>
                                                                                  <w:divBdr>
                                                                                    <w:top w:val="none" w:sz="0" w:space="0" w:color="auto"/>
                                                                                    <w:left w:val="none" w:sz="0" w:space="0" w:color="auto"/>
                                                                                    <w:bottom w:val="none" w:sz="0" w:space="0" w:color="auto"/>
                                                                                    <w:right w:val="none" w:sz="0" w:space="0" w:color="auto"/>
                                                                                  </w:divBdr>
                                                                                  <w:divsChild>
                                                                                    <w:div w:id="565071620">
                                                                                      <w:marLeft w:val="0"/>
                                                                                      <w:marRight w:val="0"/>
                                                                                      <w:marTop w:val="0"/>
                                                                                      <w:marBottom w:val="0"/>
                                                                                      <w:divBdr>
                                                                                        <w:top w:val="none" w:sz="0" w:space="0" w:color="auto"/>
                                                                                        <w:left w:val="none" w:sz="0" w:space="0" w:color="auto"/>
                                                                                        <w:bottom w:val="none" w:sz="0" w:space="0" w:color="auto"/>
                                                                                        <w:right w:val="none" w:sz="0" w:space="0" w:color="auto"/>
                                                                                      </w:divBdr>
                                                                                      <w:divsChild>
                                                                                        <w:div w:id="212423643">
                                                                                          <w:marLeft w:val="0"/>
                                                                                          <w:marRight w:val="0"/>
                                                                                          <w:marTop w:val="0"/>
                                                                                          <w:marBottom w:val="0"/>
                                                                                          <w:divBdr>
                                                                                            <w:top w:val="none" w:sz="0" w:space="0" w:color="auto"/>
                                                                                            <w:left w:val="none" w:sz="0" w:space="0" w:color="auto"/>
                                                                                            <w:bottom w:val="single" w:sz="4" w:space="4" w:color="CCCCCC"/>
                                                                                            <w:right w:val="none" w:sz="0" w:space="0" w:color="auto"/>
                                                                                          </w:divBdr>
                                                                                          <w:divsChild>
                                                                                            <w:div w:id="18455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97354">
      <w:bodyDiv w:val="1"/>
      <w:marLeft w:val="0"/>
      <w:marRight w:val="0"/>
      <w:marTop w:val="0"/>
      <w:marBottom w:val="0"/>
      <w:divBdr>
        <w:top w:val="none" w:sz="0" w:space="0" w:color="auto"/>
        <w:left w:val="none" w:sz="0" w:space="0" w:color="auto"/>
        <w:bottom w:val="none" w:sz="0" w:space="0" w:color="auto"/>
        <w:right w:val="none" w:sz="0" w:space="0" w:color="auto"/>
      </w:divBdr>
      <w:divsChild>
        <w:div w:id="242495781">
          <w:marLeft w:val="0"/>
          <w:marRight w:val="0"/>
          <w:marTop w:val="0"/>
          <w:marBottom w:val="0"/>
          <w:divBdr>
            <w:top w:val="none" w:sz="0" w:space="0" w:color="auto"/>
            <w:left w:val="none" w:sz="0" w:space="0" w:color="auto"/>
            <w:bottom w:val="none" w:sz="0" w:space="0" w:color="auto"/>
            <w:right w:val="none" w:sz="0" w:space="0" w:color="auto"/>
          </w:divBdr>
          <w:divsChild>
            <w:div w:id="684480138">
              <w:marLeft w:val="0"/>
              <w:marRight w:val="0"/>
              <w:marTop w:val="0"/>
              <w:marBottom w:val="175"/>
              <w:divBdr>
                <w:top w:val="none" w:sz="0" w:space="0" w:color="auto"/>
                <w:left w:val="none" w:sz="0" w:space="0" w:color="auto"/>
                <w:bottom w:val="none" w:sz="0" w:space="0" w:color="auto"/>
                <w:right w:val="none" w:sz="0" w:space="0" w:color="auto"/>
              </w:divBdr>
              <w:divsChild>
                <w:div w:id="1869490333">
                  <w:marLeft w:val="0"/>
                  <w:marRight w:val="0"/>
                  <w:marTop w:val="326"/>
                  <w:marBottom w:val="0"/>
                  <w:divBdr>
                    <w:top w:val="none" w:sz="0" w:space="0" w:color="auto"/>
                    <w:left w:val="none" w:sz="0" w:space="0" w:color="auto"/>
                    <w:bottom w:val="none" w:sz="0" w:space="0" w:color="auto"/>
                    <w:right w:val="none" w:sz="0" w:space="0" w:color="auto"/>
                  </w:divBdr>
                  <w:divsChild>
                    <w:div w:id="994802773">
                      <w:marLeft w:val="0"/>
                      <w:marRight w:val="0"/>
                      <w:marTop w:val="0"/>
                      <w:marBottom w:val="0"/>
                      <w:divBdr>
                        <w:top w:val="none" w:sz="0" w:space="0" w:color="auto"/>
                        <w:left w:val="none" w:sz="0" w:space="0" w:color="auto"/>
                        <w:bottom w:val="none" w:sz="0" w:space="0" w:color="auto"/>
                        <w:right w:val="none" w:sz="0" w:space="0" w:color="auto"/>
                      </w:divBdr>
                      <w:divsChild>
                        <w:div w:id="319432601">
                          <w:marLeft w:val="0"/>
                          <w:marRight w:val="0"/>
                          <w:marTop w:val="0"/>
                          <w:marBottom w:val="250"/>
                          <w:divBdr>
                            <w:top w:val="none" w:sz="0" w:space="0" w:color="auto"/>
                            <w:left w:val="none" w:sz="0" w:space="0" w:color="auto"/>
                            <w:bottom w:val="none" w:sz="0" w:space="0" w:color="auto"/>
                            <w:right w:val="none" w:sz="0" w:space="0" w:color="auto"/>
                          </w:divBdr>
                          <w:divsChild>
                            <w:div w:id="1955286028">
                              <w:marLeft w:val="0"/>
                              <w:marRight w:val="0"/>
                              <w:marTop w:val="0"/>
                              <w:marBottom w:val="0"/>
                              <w:divBdr>
                                <w:top w:val="none" w:sz="0" w:space="0" w:color="auto"/>
                                <w:left w:val="none" w:sz="0" w:space="0" w:color="auto"/>
                                <w:bottom w:val="none" w:sz="0" w:space="0" w:color="auto"/>
                                <w:right w:val="none" w:sz="0" w:space="0" w:color="auto"/>
                              </w:divBdr>
                              <w:divsChild>
                                <w:div w:id="14653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44248">
      <w:bodyDiv w:val="1"/>
      <w:marLeft w:val="0"/>
      <w:marRight w:val="0"/>
      <w:marTop w:val="0"/>
      <w:marBottom w:val="0"/>
      <w:divBdr>
        <w:top w:val="none" w:sz="0" w:space="0" w:color="auto"/>
        <w:left w:val="none" w:sz="0" w:space="0" w:color="auto"/>
        <w:bottom w:val="none" w:sz="0" w:space="0" w:color="auto"/>
        <w:right w:val="none" w:sz="0" w:space="0" w:color="auto"/>
      </w:divBdr>
      <w:divsChild>
        <w:div w:id="1089305264">
          <w:marLeft w:val="0"/>
          <w:marRight w:val="0"/>
          <w:marTop w:val="0"/>
          <w:marBottom w:val="0"/>
          <w:divBdr>
            <w:top w:val="none" w:sz="0" w:space="0" w:color="auto"/>
            <w:left w:val="none" w:sz="0" w:space="0" w:color="auto"/>
            <w:bottom w:val="none" w:sz="0" w:space="0" w:color="auto"/>
            <w:right w:val="none" w:sz="0" w:space="0" w:color="auto"/>
          </w:divBdr>
          <w:divsChild>
            <w:div w:id="98718063">
              <w:marLeft w:val="0"/>
              <w:marRight w:val="0"/>
              <w:marTop w:val="0"/>
              <w:marBottom w:val="0"/>
              <w:divBdr>
                <w:top w:val="none" w:sz="0" w:space="0" w:color="auto"/>
                <w:left w:val="none" w:sz="0" w:space="0" w:color="auto"/>
                <w:bottom w:val="none" w:sz="0" w:space="0" w:color="auto"/>
                <w:right w:val="none" w:sz="0" w:space="0" w:color="auto"/>
              </w:divBdr>
              <w:divsChild>
                <w:div w:id="1659721814">
                  <w:marLeft w:val="0"/>
                  <w:marRight w:val="0"/>
                  <w:marTop w:val="0"/>
                  <w:marBottom w:val="0"/>
                  <w:divBdr>
                    <w:top w:val="none" w:sz="0" w:space="0" w:color="auto"/>
                    <w:left w:val="none" w:sz="0" w:space="0" w:color="auto"/>
                    <w:bottom w:val="none" w:sz="0" w:space="0" w:color="auto"/>
                    <w:right w:val="none" w:sz="0" w:space="0" w:color="auto"/>
                  </w:divBdr>
                  <w:divsChild>
                    <w:div w:id="573853827">
                      <w:marLeft w:val="0"/>
                      <w:marRight w:val="0"/>
                      <w:marTop w:val="0"/>
                      <w:marBottom w:val="0"/>
                      <w:divBdr>
                        <w:top w:val="none" w:sz="0" w:space="0" w:color="auto"/>
                        <w:left w:val="none" w:sz="0" w:space="0" w:color="auto"/>
                        <w:bottom w:val="none" w:sz="0" w:space="0" w:color="auto"/>
                        <w:right w:val="none" w:sz="0" w:space="0" w:color="auto"/>
                      </w:divBdr>
                      <w:divsChild>
                        <w:div w:id="49111144">
                          <w:marLeft w:val="0"/>
                          <w:marRight w:val="0"/>
                          <w:marTop w:val="300"/>
                          <w:marBottom w:val="0"/>
                          <w:divBdr>
                            <w:top w:val="none" w:sz="0" w:space="0" w:color="auto"/>
                            <w:left w:val="none" w:sz="0" w:space="0" w:color="auto"/>
                            <w:bottom w:val="none" w:sz="0" w:space="0" w:color="auto"/>
                            <w:right w:val="none" w:sz="0" w:space="0" w:color="auto"/>
                          </w:divBdr>
                          <w:divsChild>
                            <w:div w:id="836654533">
                              <w:marLeft w:val="0"/>
                              <w:marRight w:val="0"/>
                              <w:marTop w:val="0"/>
                              <w:marBottom w:val="0"/>
                              <w:divBdr>
                                <w:top w:val="none" w:sz="0" w:space="0" w:color="auto"/>
                                <w:left w:val="none" w:sz="0" w:space="0" w:color="auto"/>
                                <w:bottom w:val="none" w:sz="0" w:space="0" w:color="auto"/>
                                <w:right w:val="none" w:sz="0" w:space="0" w:color="auto"/>
                              </w:divBdr>
                              <w:divsChild>
                                <w:div w:id="106387360">
                                  <w:marLeft w:val="0"/>
                                  <w:marRight w:val="0"/>
                                  <w:marTop w:val="0"/>
                                  <w:marBottom w:val="0"/>
                                  <w:divBdr>
                                    <w:top w:val="none" w:sz="0" w:space="0" w:color="auto"/>
                                    <w:left w:val="none" w:sz="0" w:space="0" w:color="auto"/>
                                    <w:bottom w:val="none" w:sz="0" w:space="0" w:color="auto"/>
                                    <w:right w:val="none" w:sz="0" w:space="0" w:color="auto"/>
                                  </w:divBdr>
                                  <w:divsChild>
                                    <w:div w:id="838737322">
                                      <w:marLeft w:val="0"/>
                                      <w:marRight w:val="0"/>
                                      <w:marTop w:val="0"/>
                                      <w:marBottom w:val="0"/>
                                      <w:divBdr>
                                        <w:top w:val="none" w:sz="0" w:space="0" w:color="auto"/>
                                        <w:left w:val="none" w:sz="0" w:space="0" w:color="auto"/>
                                        <w:bottom w:val="none" w:sz="0" w:space="0" w:color="auto"/>
                                        <w:right w:val="none" w:sz="0" w:space="0" w:color="auto"/>
                                      </w:divBdr>
                                      <w:divsChild>
                                        <w:div w:id="1365670862">
                                          <w:marLeft w:val="0"/>
                                          <w:marRight w:val="0"/>
                                          <w:marTop w:val="0"/>
                                          <w:marBottom w:val="0"/>
                                          <w:divBdr>
                                            <w:top w:val="none" w:sz="0" w:space="0" w:color="auto"/>
                                            <w:left w:val="none" w:sz="0" w:space="0" w:color="auto"/>
                                            <w:bottom w:val="none" w:sz="0" w:space="0" w:color="auto"/>
                                            <w:right w:val="none" w:sz="0" w:space="0" w:color="auto"/>
                                          </w:divBdr>
                                          <w:divsChild>
                                            <w:div w:id="1844011407">
                                              <w:marLeft w:val="0"/>
                                              <w:marRight w:val="0"/>
                                              <w:marTop w:val="0"/>
                                              <w:marBottom w:val="300"/>
                                              <w:divBdr>
                                                <w:top w:val="none" w:sz="0" w:space="0" w:color="auto"/>
                                                <w:left w:val="none" w:sz="0" w:space="0" w:color="auto"/>
                                                <w:bottom w:val="none" w:sz="0" w:space="0" w:color="auto"/>
                                                <w:right w:val="none" w:sz="0" w:space="0" w:color="auto"/>
                                              </w:divBdr>
                                              <w:divsChild>
                                                <w:div w:id="1953707565">
                                                  <w:marLeft w:val="0"/>
                                                  <w:marRight w:val="0"/>
                                                  <w:marTop w:val="0"/>
                                                  <w:marBottom w:val="0"/>
                                                  <w:divBdr>
                                                    <w:top w:val="none" w:sz="0" w:space="0" w:color="auto"/>
                                                    <w:left w:val="none" w:sz="0" w:space="0" w:color="auto"/>
                                                    <w:bottom w:val="none" w:sz="0" w:space="0" w:color="auto"/>
                                                    <w:right w:val="none" w:sz="0" w:space="0" w:color="auto"/>
                                                  </w:divBdr>
                                                  <w:divsChild>
                                                    <w:div w:id="1602565250">
                                                      <w:marLeft w:val="0"/>
                                                      <w:marRight w:val="0"/>
                                                      <w:marTop w:val="0"/>
                                                      <w:marBottom w:val="300"/>
                                                      <w:divBdr>
                                                        <w:top w:val="single" w:sz="6" w:space="0" w:color="DDDDDD"/>
                                                        <w:left w:val="single" w:sz="6" w:space="0" w:color="DDDDDD"/>
                                                        <w:bottom w:val="single" w:sz="6" w:space="0" w:color="DDDDDD"/>
                                                        <w:right w:val="single" w:sz="6" w:space="0" w:color="DDDDDD"/>
                                                      </w:divBdr>
                                                      <w:divsChild>
                                                        <w:div w:id="1459451291">
                                                          <w:marLeft w:val="0"/>
                                                          <w:marRight w:val="0"/>
                                                          <w:marTop w:val="0"/>
                                                          <w:marBottom w:val="0"/>
                                                          <w:divBdr>
                                                            <w:top w:val="none" w:sz="0" w:space="0" w:color="auto"/>
                                                            <w:left w:val="none" w:sz="0" w:space="0" w:color="auto"/>
                                                            <w:bottom w:val="none" w:sz="0" w:space="0" w:color="auto"/>
                                                            <w:right w:val="none" w:sz="0" w:space="0" w:color="auto"/>
                                                          </w:divBdr>
                                                          <w:divsChild>
                                                            <w:div w:id="711928180">
                                                              <w:marLeft w:val="0"/>
                                                              <w:marRight w:val="0"/>
                                                              <w:marTop w:val="0"/>
                                                              <w:marBottom w:val="0"/>
                                                              <w:divBdr>
                                                                <w:top w:val="none" w:sz="0" w:space="0" w:color="auto"/>
                                                                <w:left w:val="none" w:sz="0" w:space="0" w:color="auto"/>
                                                                <w:bottom w:val="none" w:sz="0" w:space="0" w:color="auto"/>
                                                                <w:right w:val="none" w:sz="0" w:space="0" w:color="auto"/>
                                                              </w:divBdr>
                                                              <w:divsChild>
                                                                <w:div w:id="2000110474">
                                                                  <w:marLeft w:val="0"/>
                                                                  <w:marRight w:val="0"/>
                                                                  <w:marTop w:val="0"/>
                                                                  <w:marBottom w:val="0"/>
                                                                  <w:divBdr>
                                                                    <w:top w:val="none" w:sz="0" w:space="0" w:color="auto"/>
                                                                    <w:left w:val="none" w:sz="0" w:space="0" w:color="auto"/>
                                                                    <w:bottom w:val="none" w:sz="0" w:space="0" w:color="auto"/>
                                                                    <w:right w:val="none" w:sz="0" w:space="0" w:color="auto"/>
                                                                  </w:divBdr>
                                                                  <w:divsChild>
                                                                    <w:div w:id="454107185">
                                                                      <w:marLeft w:val="0"/>
                                                                      <w:marRight w:val="0"/>
                                                                      <w:marTop w:val="0"/>
                                                                      <w:marBottom w:val="300"/>
                                                                      <w:divBdr>
                                                                        <w:top w:val="none" w:sz="0" w:space="0" w:color="auto"/>
                                                                        <w:left w:val="none" w:sz="0" w:space="0" w:color="auto"/>
                                                                        <w:bottom w:val="none" w:sz="0" w:space="0" w:color="auto"/>
                                                                        <w:right w:val="none" w:sz="0" w:space="0" w:color="auto"/>
                                                                      </w:divBdr>
                                                                      <w:divsChild>
                                                                        <w:div w:id="1531456776">
                                                                          <w:marLeft w:val="0"/>
                                                                          <w:marRight w:val="0"/>
                                                                          <w:marTop w:val="0"/>
                                                                          <w:marBottom w:val="0"/>
                                                                          <w:divBdr>
                                                                            <w:top w:val="none" w:sz="0" w:space="0" w:color="auto"/>
                                                                            <w:left w:val="none" w:sz="0" w:space="0" w:color="auto"/>
                                                                            <w:bottom w:val="single" w:sz="6" w:space="0" w:color="999999"/>
                                                                            <w:right w:val="none" w:sz="0" w:space="0" w:color="auto"/>
                                                                          </w:divBdr>
                                                                          <w:divsChild>
                                                                            <w:div w:id="1452629868">
                                                                              <w:marLeft w:val="0"/>
                                                                              <w:marRight w:val="0"/>
                                                                              <w:marTop w:val="0"/>
                                                                              <w:marBottom w:val="0"/>
                                                                              <w:divBdr>
                                                                                <w:top w:val="none" w:sz="0" w:space="0" w:color="auto"/>
                                                                                <w:left w:val="none" w:sz="0" w:space="0" w:color="auto"/>
                                                                                <w:bottom w:val="none" w:sz="0" w:space="0" w:color="auto"/>
                                                                                <w:right w:val="none" w:sz="0" w:space="0" w:color="auto"/>
                                                                              </w:divBdr>
                                                                              <w:divsChild>
                                                                                <w:div w:id="118769971">
                                                                                  <w:marLeft w:val="0"/>
                                                                                  <w:marRight w:val="0"/>
                                                                                  <w:marTop w:val="0"/>
                                                                                  <w:marBottom w:val="0"/>
                                                                                  <w:divBdr>
                                                                                    <w:top w:val="none" w:sz="0" w:space="0" w:color="auto"/>
                                                                                    <w:left w:val="none" w:sz="0" w:space="0" w:color="auto"/>
                                                                                    <w:bottom w:val="none" w:sz="0" w:space="0" w:color="auto"/>
                                                                                    <w:right w:val="none" w:sz="0" w:space="0" w:color="auto"/>
                                                                                  </w:divBdr>
                                                                                  <w:divsChild>
                                                                                    <w:div w:id="2081125401">
                                                                                      <w:marLeft w:val="0"/>
                                                                                      <w:marRight w:val="0"/>
                                                                                      <w:marTop w:val="0"/>
                                                                                      <w:marBottom w:val="0"/>
                                                                                      <w:divBdr>
                                                                                        <w:top w:val="none" w:sz="0" w:space="0" w:color="auto"/>
                                                                                        <w:left w:val="none" w:sz="0" w:space="0" w:color="auto"/>
                                                                                        <w:bottom w:val="none" w:sz="0" w:space="0" w:color="auto"/>
                                                                                        <w:right w:val="none" w:sz="0" w:space="0" w:color="auto"/>
                                                                                      </w:divBdr>
                                                                                      <w:divsChild>
                                                                                        <w:div w:id="936474872">
                                                                                          <w:marLeft w:val="0"/>
                                                                                          <w:marRight w:val="0"/>
                                                                                          <w:marTop w:val="0"/>
                                                                                          <w:marBottom w:val="0"/>
                                                                                          <w:divBdr>
                                                                                            <w:top w:val="none" w:sz="0" w:space="0" w:color="auto"/>
                                                                                            <w:left w:val="none" w:sz="0" w:space="0" w:color="auto"/>
                                                                                            <w:bottom w:val="single" w:sz="6" w:space="5" w:color="CCCCCC"/>
                                                                                            <w:right w:val="none" w:sz="0" w:space="0" w:color="auto"/>
                                                                                          </w:divBdr>
                                                                                          <w:divsChild>
                                                                                            <w:div w:id="16908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551993">
      <w:bodyDiv w:val="1"/>
      <w:marLeft w:val="0"/>
      <w:marRight w:val="0"/>
      <w:marTop w:val="0"/>
      <w:marBottom w:val="0"/>
      <w:divBdr>
        <w:top w:val="none" w:sz="0" w:space="0" w:color="auto"/>
        <w:left w:val="none" w:sz="0" w:space="0" w:color="auto"/>
        <w:bottom w:val="none" w:sz="0" w:space="0" w:color="auto"/>
        <w:right w:val="none" w:sz="0" w:space="0" w:color="auto"/>
      </w:divBdr>
      <w:divsChild>
        <w:div w:id="1503547627">
          <w:marLeft w:val="0"/>
          <w:marRight w:val="0"/>
          <w:marTop w:val="0"/>
          <w:marBottom w:val="0"/>
          <w:divBdr>
            <w:top w:val="none" w:sz="0" w:space="0" w:color="auto"/>
            <w:left w:val="none" w:sz="0" w:space="0" w:color="auto"/>
            <w:bottom w:val="none" w:sz="0" w:space="0" w:color="auto"/>
            <w:right w:val="none" w:sz="0" w:space="0" w:color="auto"/>
          </w:divBdr>
          <w:divsChild>
            <w:div w:id="1235970595">
              <w:marLeft w:val="0"/>
              <w:marRight w:val="0"/>
              <w:marTop w:val="0"/>
              <w:marBottom w:val="175"/>
              <w:divBdr>
                <w:top w:val="none" w:sz="0" w:space="0" w:color="auto"/>
                <w:left w:val="none" w:sz="0" w:space="0" w:color="auto"/>
                <w:bottom w:val="none" w:sz="0" w:space="0" w:color="auto"/>
                <w:right w:val="none" w:sz="0" w:space="0" w:color="auto"/>
              </w:divBdr>
              <w:divsChild>
                <w:div w:id="483591761">
                  <w:marLeft w:val="0"/>
                  <w:marRight w:val="0"/>
                  <w:marTop w:val="326"/>
                  <w:marBottom w:val="0"/>
                  <w:divBdr>
                    <w:top w:val="none" w:sz="0" w:space="0" w:color="auto"/>
                    <w:left w:val="none" w:sz="0" w:space="0" w:color="auto"/>
                    <w:bottom w:val="none" w:sz="0" w:space="0" w:color="auto"/>
                    <w:right w:val="none" w:sz="0" w:space="0" w:color="auto"/>
                  </w:divBdr>
                  <w:divsChild>
                    <w:div w:id="395132486">
                      <w:marLeft w:val="0"/>
                      <w:marRight w:val="0"/>
                      <w:marTop w:val="0"/>
                      <w:marBottom w:val="0"/>
                      <w:divBdr>
                        <w:top w:val="none" w:sz="0" w:space="0" w:color="auto"/>
                        <w:left w:val="none" w:sz="0" w:space="0" w:color="auto"/>
                        <w:bottom w:val="none" w:sz="0" w:space="0" w:color="auto"/>
                        <w:right w:val="none" w:sz="0" w:space="0" w:color="auto"/>
                      </w:divBdr>
                      <w:divsChild>
                        <w:div w:id="684289776">
                          <w:marLeft w:val="0"/>
                          <w:marRight w:val="0"/>
                          <w:marTop w:val="0"/>
                          <w:marBottom w:val="250"/>
                          <w:divBdr>
                            <w:top w:val="none" w:sz="0" w:space="0" w:color="auto"/>
                            <w:left w:val="none" w:sz="0" w:space="0" w:color="auto"/>
                            <w:bottom w:val="none" w:sz="0" w:space="0" w:color="auto"/>
                            <w:right w:val="none" w:sz="0" w:space="0" w:color="auto"/>
                          </w:divBdr>
                          <w:divsChild>
                            <w:div w:id="1975669867">
                              <w:marLeft w:val="0"/>
                              <w:marRight w:val="0"/>
                              <w:marTop w:val="0"/>
                              <w:marBottom w:val="0"/>
                              <w:divBdr>
                                <w:top w:val="none" w:sz="0" w:space="0" w:color="auto"/>
                                <w:left w:val="none" w:sz="0" w:space="0" w:color="auto"/>
                                <w:bottom w:val="none" w:sz="0" w:space="0" w:color="auto"/>
                                <w:right w:val="none" w:sz="0" w:space="0" w:color="auto"/>
                              </w:divBdr>
                              <w:divsChild>
                                <w:div w:id="3734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409464">
      <w:bodyDiv w:val="1"/>
      <w:marLeft w:val="0"/>
      <w:marRight w:val="0"/>
      <w:marTop w:val="0"/>
      <w:marBottom w:val="0"/>
      <w:divBdr>
        <w:top w:val="none" w:sz="0" w:space="0" w:color="auto"/>
        <w:left w:val="none" w:sz="0" w:space="0" w:color="auto"/>
        <w:bottom w:val="none" w:sz="0" w:space="0" w:color="auto"/>
        <w:right w:val="none" w:sz="0" w:space="0" w:color="auto"/>
      </w:divBdr>
      <w:divsChild>
        <w:div w:id="1604534059">
          <w:marLeft w:val="0"/>
          <w:marRight w:val="0"/>
          <w:marTop w:val="0"/>
          <w:marBottom w:val="0"/>
          <w:divBdr>
            <w:top w:val="none" w:sz="0" w:space="0" w:color="auto"/>
            <w:left w:val="none" w:sz="0" w:space="0" w:color="auto"/>
            <w:bottom w:val="none" w:sz="0" w:space="0" w:color="auto"/>
            <w:right w:val="none" w:sz="0" w:space="0" w:color="auto"/>
          </w:divBdr>
          <w:divsChild>
            <w:div w:id="309095464">
              <w:marLeft w:val="0"/>
              <w:marRight w:val="0"/>
              <w:marTop w:val="0"/>
              <w:marBottom w:val="115"/>
              <w:divBdr>
                <w:top w:val="none" w:sz="0" w:space="0" w:color="auto"/>
                <w:left w:val="none" w:sz="0" w:space="0" w:color="auto"/>
                <w:bottom w:val="none" w:sz="0" w:space="0" w:color="auto"/>
                <w:right w:val="none" w:sz="0" w:space="0" w:color="auto"/>
              </w:divBdr>
              <w:divsChild>
                <w:div w:id="500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aat.org.uk/news/article/parents-and-apprenticeships" TargetMode="External"/><Relationship Id="rId2" Type="http://schemas.openxmlformats.org/officeDocument/2006/relationships/hyperlink" Target="http://mediafiles.thedms.co.uk/Publication/LM/cms/pdf/STEAM%20OVERVIEW~%20Eng-Wal-NI.pdf" TargetMode="External"/><Relationship Id="rId1" Type="http://schemas.openxmlformats.org/officeDocument/2006/relationships/hyperlink" Target="https://www.visitengland.com/sites/default/files/downloads/final_skills_action_plan_1_june_2012_0.pdf" TargetMode="External"/><Relationship Id="rId5" Type="http://schemas.openxmlformats.org/officeDocument/2006/relationships/hyperlink" Target="http://www.hospitalityguild.co.uk/A-Career-in-Hospitality/Career-tools/Career-Map" TargetMode="External"/><Relationship Id="rId4" Type="http://schemas.openxmlformats.org/officeDocument/2006/relationships/hyperlink" Target="http://www.cityandguilds.com/news/March-2014/apprenticeships-not-just-for-b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FFF8-3DFA-42EE-9B54-39FF5835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16394</Words>
  <Characters>93447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Ekosgen</Company>
  <LinksUpToDate>false</LinksUpToDate>
  <CharactersWithSpaces>109622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kirsten.hedland</dc:creator>
  <cp:keywords/>
  <dc:description/>
  <cp:lastModifiedBy>David Brennan</cp:lastModifiedBy>
  <cp:revision>2</cp:revision>
  <dcterms:created xsi:type="dcterms:W3CDTF">2015-07-16T08:56:00Z</dcterms:created>
  <dcterms:modified xsi:type="dcterms:W3CDTF">2015-07-16T08:56:00Z</dcterms:modified>
</cp:coreProperties>
</file>